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8498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3F05203" w14:textId="77777777" w:rsidTr="005F7F7E">
        <w:tc>
          <w:tcPr>
            <w:tcW w:w="2438" w:type="dxa"/>
            <w:shd w:val="clear" w:color="auto" w:fill="auto"/>
          </w:tcPr>
          <w:p w14:paraId="3DE94B4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9F9EC70" w14:textId="77777777" w:rsidR="00F445B1" w:rsidRPr="00F95BC9" w:rsidRDefault="00DB7AD7" w:rsidP="004A6D2F">
            <w:pPr>
              <w:rPr>
                <w:rStyle w:val="Firstpagetablebold"/>
              </w:rPr>
            </w:pPr>
            <w:r>
              <w:rPr>
                <w:rStyle w:val="Firstpagetablebold"/>
              </w:rPr>
              <w:t>Cabinet</w:t>
            </w:r>
          </w:p>
        </w:tc>
      </w:tr>
      <w:tr w:rsidR="00CE544A" w:rsidRPr="00975B07" w14:paraId="0A353A87" w14:textId="77777777" w:rsidTr="005F7F7E">
        <w:tc>
          <w:tcPr>
            <w:tcW w:w="2438" w:type="dxa"/>
            <w:shd w:val="clear" w:color="auto" w:fill="auto"/>
          </w:tcPr>
          <w:p w14:paraId="7587284F"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D225C21" w14:textId="77777777" w:rsidR="00F445B1" w:rsidRPr="001356F1" w:rsidRDefault="001C6440" w:rsidP="007B5CA2">
            <w:pPr>
              <w:rPr>
                <w:b/>
              </w:rPr>
            </w:pPr>
            <w:r>
              <w:rPr>
                <w:rStyle w:val="Firstpagetablebold"/>
              </w:rPr>
              <w:t>9 August 2023</w:t>
            </w:r>
          </w:p>
        </w:tc>
      </w:tr>
      <w:tr w:rsidR="00CE544A" w:rsidRPr="00975B07" w14:paraId="074C3A0B" w14:textId="77777777" w:rsidTr="005F7F7E">
        <w:tc>
          <w:tcPr>
            <w:tcW w:w="2438" w:type="dxa"/>
            <w:shd w:val="clear" w:color="auto" w:fill="auto"/>
          </w:tcPr>
          <w:p w14:paraId="37130D0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0E7CA63" w14:textId="35A45080" w:rsidR="00F445B1" w:rsidRPr="001356F1" w:rsidRDefault="00FD1DFA" w:rsidP="001C6440">
            <w:pPr>
              <w:rPr>
                <w:rStyle w:val="Firstpagetablebold"/>
              </w:rPr>
            </w:pPr>
            <w:r w:rsidRPr="001356F1">
              <w:rPr>
                <w:rStyle w:val="Firstpagetablebold"/>
              </w:rPr>
              <w:t xml:space="preserve">Executive Director </w:t>
            </w:r>
            <w:r w:rsidR="00D44AD0">
              <w:rPr>
                <w:rStyle w:val="Firstpagetablebold"/>
              </w:rPr>
              <w:t>(</w:t>
            </w:r>
            <w:r w:rsidR="001C6440">
              <w:rPr>
                <w:rStyle w:val="Firstpagetablebold"/>
              </w:rPr>
              <w:t xml:space="preserve">Communities </w:t>
            </w:r>
            <w:r w:rsidR="009C38CB">
              <w:rPr>
                <w:rStyle w:val="Firstpagetablebold"/>
              </w:rPr>
              <w:t>and</w:t>
            </w:r>
            <w:r w:rsidR="001C6440">
              <w:rPr>
                <w:rStyle w:val="Firstpagetablebold"/>
              </w:rPr>
              <w:t xml:space="preserve"> People</w:t>
            </w:r>
            <w:r w:rsidR="00D44AD0">
              <w:rPr>
                <w:rStyle w:val="Firstpagetablebold"/>
              </w:rPr>
              <w:t>)</w:t>
            </w:r>
          </w:p>
        </w:tc>
      </w:tr>
      <w:tr w:rsidR="00CE544A" w:rsidRPr="00975B07" w14:paraId="2870C183" w14:textId="77777777" w:rsidTr="005F7F7E">
        <w:tc>
          <w:tcPr>
            <w:tcW w:w="2438" w:type="dxa"/>
            <w:shd w:val="clear" w:color="auto" w:fill="auto"/>
          </w:tcPr>
          <w:p w14:paraId="125B781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A19BCE7" w14:textId="7BB10574" w:rsidR="00F445B1" w:rsidRPr="001356F1" w:rsidRDefault="001C6440" w:rsidP="001C6440">
            <w:pPr>
              <w:rPr>
                <w:rStyle w:val="Firstpagetablebold"/>
              </w:rPr>
            </w:pPr>
            <w:r>
              <w:rPr>
                <w:rStyle w:val="Firstpagetablebold"/>
              </w:rPr>
              <w:t xml:space="preserve">Expansion of </w:t>
            </w:r>
            <w:r w:rsidR="00D44AD0">
              <w:rPr>
                <w:rStyle w:val="Firstpagetablebold"/>
              </w:rPr>
              <w:t xml:space="preserve">the </w:t>
            </w:r>
            <w:r>
              <w:rPr>
                <w:rStyle w:val="Firstpagetablebold"/>
              </w:rPr>
              <w:t>Housing First Programme</w:t>
            </w:r>
          </w:p>
        </w:tc>
      </w:tr>
    </w:tbl>
    <w:p w14:paraId="08BC7F08"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4745384E" w14:textId="77777777" w:rsidTr="0080749A">
        <w:tc>
          <w:tcPr>
            <w:tcW w:w="8845" w:type="dxa"/>
            <w:gridSpan w:val="2"/>
            <w:tcBorders>
              <w:bottom w:val="single" w:sz="8" w:space="0" w:color="000000"/>
            </w:tcBorders>
            <w:hideMark/>
          </w:tcPr>
          <w:p w14:paraId="42621179"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D3F418F" w14:textId="77777777" w:rsidTr="0080749A">
        <w:tc>
          <w:tcPr>
            <w:tcW w:w="2438" w:type="dxa"/>
            <w:tcBorders>
              <w:top w:val="single" w:sz="8" w:space="0" w:color="000000"/>
              <w:left w:val="single" w:sz="8" w:space="0" w:color="000000"/>
              <w:bottom w:val="nil"/>
              <w:right w:val="nil"/>
            </w:tcBorders>
            <w:hideMark/>
          </w:tcPr>
          <w:p w14:paraId="458DF103"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163D069" w14:textId="33CDB3D7" w:rsidR="00D5547E" w:rsidRPr="001356F1" w:rsidRDefault="001C6440" w:rsidP="00DB7AD7">
            <w:r>
              <w:t xml:space="preserve">To </w:t>
            </w:r>
            <w:r w:rsidR="00D44AD0">
              <w:t>seek approval for</w:t>
            </w:r>
            <w:r>
              <w:t xml:space="preserve"> the expansion of the Housing First programme following</w:t>
            </w:r>
            <w:r w:rsidR="000833C8">
              <w:t xml:space="preserve"> a successful bid to the Single Homelessness Accommodation Programme</w:t>
            </w:r>
          </w:p>
        </w:tc>
      </w:tr>
      <w:tr w:rsidR="00D5547E" w14:paraId="08C38E09" w14:textId="77777777" w:rsidTr="0080749A">
        <w:tc>
          <w:tcPr>
            <w:tcW w:w="2438" w:type="dxa"/>
            <w:tcBorders>
              <w:top w:val="nil"/>
              <w:left w:val="single" w:sz="8" w:space="0" w:color="000000"/>
              <w:bottom w:val="nil"/>
              <w:right w:val="nil"/>
            </w:tcBorders>
            <w:hideMark/>
          </w:tcPr>
          <w:p w14:paraId="1EC2D6B4"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3B3835E" w14:textId="77777777" w:rsidR="00D5547E" w:rsidRPr="001356F1" w:rsidRDefault="001C6440" w:rsidP="005F7F7E">
            <w:r>
              <w:t>Yes</w:t>
            </w:r>
          </w:p>
        </w:tc>
      </w:tr>
      <w:tr w:rsidR="00D5547E" w14:paraId="1800F99B" w14:textId="77777777" w:rsidTr="0080749A">
        <w:tc>
          <w:tcPr>
            <w:tcW w:w="2438" w:type="dxa"/>
            <w:tcBorders>
              <w:top w:val="nil"/>
              <w:left w:val="single" w:sz="8" w:space="0" w:color="000000"/>
              <w:bottom w:val="nil"/>
              <w:right w:val="nil"/>
            </w:tcBorders>
            <w:hideMark/>
          </w:tcPr>
          <w:p w14:paraId="512C9D6D"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37A0343E" w14:textId="07E17ACC" w:rsidR="00D5547E" w:rsidRPr="001356F1" w:rsidRDefault="00D5547E" w:rsidP="001C6440">
            <w:r w:rsidRPr="001356F1">
              <w:t xml:space="preserve">Councillor </w:t>
            </w:r>
            <w:r w:rsidR="001C6440">
              <w:t xml:space="preserve">Linda Smith, Cabinet </w:t>
            </w:r>
            <w:r w:rsidR="009C38CB">
              <w:t>M</w:t>
            </w:r>
            <w:r w:rsidR="001C6440">
              <w:t>ember for Housing</w:t>
            </w:r>
          </w:p>
        </w:tc>
      </w:tr>
      <w:tr w:rsidR="0080749A" w14:paraId="53A85578" w14:textId="77777777" w:rsidTr="0097170F">
        <w:tc>
          <w:tcPr>
            <w:tcW w:w="2438" w:type="dxa"/>
            <w:tcBorders>
              <w:top w:val="nil"/>
              <w:left w:val="single" w:sz="8" w:space="0" w:color="000000"/>
              <w:bottom w:val="nil"/>
              <w:right w:val="nil"/>
            </w:tcBorders>
          </w:tcPr>
          <w:p w14:paraId="787462EE"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24044A6F" w14:textId="512B33DE" w:rsidR="0080749A" w:rsidRPr="001356F1" w:rsidRDefault="000833C8" w:rsidP="005F7F7E">
            <w:r>
              <w:t xml:space="preserve">Deliver More Affordable Housing, Support </w:t>
            </w:r>
            <w:r w:rsidR="001C6440">
              <w:t>Thriving Communities</w:t>
            </w:r>
          </w:p>
        </w:tc>
      </w:tr>
      <w:tr w:rsidR="00D5547E" w14:paraId="18118AFA" w14:textId="77777777" w:rsidTr="0097170F">
        <w:tc>
          <w:tcPr>
            <w:tcW w:w="2438" w:type="dxa"/>
            <w:tcBorders>
              <w:top w:val="nil"/>
              <w:left w:val="single" w:sz="8" w:space="0" w:color="000000"/>
              <w:bottom w:val="single" w:sz="4" w:space="0" w:color="auto"/>
              <w:right w:val="nil"/>
            </w:tcBorders>
            <w:hideMark/>
          </w:tcPr>
          <w:p w14:paraId="7BE3D1EE" w14:textId="77777777"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14:paraId="6DF98288" w14:textId="0171A7E4" w:rsidR="00D5547E" w:rsidRPr="001356F1" w:rsidRDefault="001C6440" w:rsidP="005F7F7E">
            <w:r>
              <w:t>Housing</w:t>
            </w:r>
            <w:r w:rsidR="000833C8">
              <w:t>,</w:t>
            </w:r>
            <w:r>
              <w:t xml:space="preserve"> Homelessness </w:t>
            </w:r>
            <w:r w:rsidR="000833C8">
              <w:t xml:space="preserve">and Rough Sleeping </w:t>
            </w:r>
            <w:r>
              <w:t>Strategy 2023-28</w:t>
            </w:r>
          </w:p>
        </w:tc>
      </w:tr>
    </w:tbl>
    <w:p w14:paraId="740D5E20"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97170F" w:rsidRPr="00975B07" w14:paraId="33C40286" w14:textId="77777777" w:rsidTr="6DAB02A6">
        <w:trPr>
          <w:trHeight w:val="413"/>
        </w:trPr>
        <w:tc>
          <w:tcPr>
            <w:tcW w:w="8845" w:type="dxa"/>
            <w:gridSpan w:val="2"/>
            <w:tcBorders>
              <w:bottom w:val="single" w:sz="8" w:space="0" w:color="000000" w:themeColor="text1"/>
            </w:tcBorders>
          </w:tcPr>
          <w:p w14:paraId="3FE0F281" w14:textId="52403107" w:rsidR="0097170F" w:rsidRPr="00975B07" w:rsidRDefault="00D44AD0" w:rsidP="00FB6E8F">
            <w:r>
              <w:rPr>
                <w:rStyle w:val="Firstpagetablebold"/>
              </w:rPr>
              <w:t>Recommendations</w:t>
            </w:r>
            <w:r w:rsidR="0097170F">
              <w:rPr>
                <w:rStyle w:val="Firstpagetablebold"/>
              </w:rPr>
              <w:t>:</w:t>
            </w:r>
            <w:r>
              <w:rPr>
                <w:rStyle w:val="Firstpagetablebold"/>
              </w:rPr>
              <w:t xml:space="preserve">  </w:t>
            </w:r>
            <w:r w:rsidR="0097170F" w:rsidRPr="008954DF">
              <w:rPr>
                <w:rStyle w:val="Firstpagetablebold"/>
                <w:b w:val="0"/>
              </w:rPr>
              <w:t>That Cabinet resolves to:</w:t>
            </w:r>
          </w:p>
        </w:tc>
      </w:tr>
      <w:tr w:rsidR="0097170F" w:rsidRPr="00975B07" w14:paraId="086D9B1A" w14:textId="77777777" w:rsidTr="6DAB02A6">
        <w:trPr>
          <w:trHeight w:val="283"/>
        </w:trPr>
        <w:tc>
          <w:tcPr>
            <w:tcW w:w="426" w:type="dxa"/>
            <w:tcBorders>
              <w:top w:val="single" w:sz="8" w:space="0" w:color="000000" w:themeColor="text1"/>
              <w:left w:val="single" w:sz="8" w:space="0" w:color="000000" w:themeColor="text1"/>
              <w:bottom w:val="nil"/>
              <w:right w:val="nil"/>
            </w:tcBorders>
          </w:tcPr>
          <w:p w14:paraId="01A1A959" w14:textId="77777777" w:rsidR="0097170F" w:rsidRPr="00975B07" w:rsidRDefault="0097170F" w:rsidP="00FB6E8F">
            <w:r w:rsidRPr="00975B07">
              <w:t>1.</w:t>
            </w:r>
          </w:p>
        </w:tc>
        <w:tc>
          <w:tcPr>
            <w:tcW w:w="8419" w:type="dxa"/>
            <w:tcBorders>
              <w:top w:val="single" w:sz="8" w:space="0" w:color="000000" w:themeColor="text1"/>
              <w:left w:val="nil"/>
              <w:bottom w:val="nil"/>
              <w:right w:val="single" w:sz="8" w:space="0" w:color="000000" w:themeColor="text1"/>
            </w:tcBorders>
            <w:shd w:val="clear" w:color="auto" w:fill="auto"/>
          </w:tcPr>
          <w:p w14:paraId="31EA6691" w14:textId="705BDCDC" w:rsidR="0097170F" w:rsidRPr="001356F1" w:rsidRDefault="00FA5895" w:rsidP="00B177D6">
            <w:r w:rsidRPr="00BB501B">
              <w:rPr>
                <w:b/>
                <w:bCs/>
              </w:rPr>
              <w:t>Approve</w:t>
            </w:r>
            <w:r w:rsidR="00D44AD0">
              <w:t xml:space="preserve"> the Council’s participation</w:t>
            </w:r>
            <w:r>
              <w:t xml:space="preserve"> in the Single </w:t>
            </w:r>
            <w:r w:rsidR="00EF62D8">
              <w:t>Homelessness</w:t>
            </w:r>
            <w:r>
              <w:t xml:space="preserve"> </w:t>
            </w:r>
            <w:r w:rsidR="00EF62D8">
              <w:t>Accommodation</w:t>
            </w:r>
            <w:r>
              <w:t xml:space="preserve"> Programme </w:t>
            </w:r>
            <w:r w:rsidR="00BB501B">
              <w:t xml:space="preserve">(SHAP) </w:t>
            </w:r>
            <w:r>
              <w:t xml:space="preserve">in order to </w:t>
            </w:r>
            <w:r w:rsidR="00EF62D8">
              <w:t>purchase</w:t>
            </w:r>
            <w:r>
              <w:t xml:space="preserve"> 12 new units for </w:t>
            </w:r>
            <w:r w:rsidR="00EF62D8">
              <w:t>Housing</w:t>
            </w:r>
            <w:r w:rsidR="00D44AD0">
              <w:t xml:space="preserve"> First</w:t>
            </w:r>
            <w:r>
              <w:t xml:space="preserve"> alongside </w:t>
            </w:r>
            <w:r w:rsidR="00EF62D8">
              <w:t>commissioning support for a total of 17 units, including</w:t>
            </w:r>
            <w:r>
              <w:t xml:space="preserve"> 5 units</w:t>
            </w:r>
            <w:r w:rsidR="00D44AD0">
              <w:t xml:space="preserve"> drawn from</w:t>
            </w:r>
            <w:r w:rsidR="00B177D6">
              <w:t xml:space="preserve"> general needs stock</w:t>
            </w:r>
            <w:r w:rsidR="00D44AD0">
              <w:t>;</w:t>
            </w:r>
          </w:p>
        </w:tc>
      </w:tr>
      <w:tr w:rsidR="0097170F" w:rsidRPr="00975B07" w14:paraId="22CA025C" w14:textId="77777777" w:rsidTr="6DAB02A6">
        <w:trPr>
          <w:trHeight w:val="283"/>
        </w:trPr>
        <w:tc>
          <w:tcPr>
            <w:tcW w:w="426" w:type="dxa"/>
            <w:tcBorders>
              <w:top w:val="nil"/>
              <w:left w:val="single" w:sz="8" w:space="0" w:color="000000" w:themeColor="text1"/>
              <w:bottom w:val="nil"/>
              <w:right w:val="nil"/>
            </w:tcBorders>
          </w:tcPr>
          <w:p w14:paraId="6FE3EBED" w14:textId="77777777" w:rsidR="0097170F" w:rsidRPr="00975B07" w:rsidRDefault="0097170F" w:rsidP="00FB6E8F">
            <w:r w:rsidRPr="00975B07">
              <w:t>2.</w:t>
            </w:r>
          </w:p>
        </w:tc>
        <w:tc>
          <w:tcPr>
            <w:tcW w:w="8419" w:type="dxa"/>
            <w:tcBorders>
              <w:top w:val="nil"/>
              <w:left w:val="nil"/>
              <w:bottom w:val="nil"/>
              <w:right w:val="single" w:sz="8" w:space="0" w:color="000000" w:themeColor="text1"/>
            </w:tcBorders>
            <w:shd w:val="clear" w:color="auto" w:fill="auto"/>
          </w:tcPr>
          <w:p w14:paraId="15DEE37D" w14:textId="29C4DA57" w:rsidR="0097170F" w:rsidRPr="001356F1" w:rsidRDefault="73E264C5" w:rsidP="00341C02">
            <w:r w:rsidRPr="00BB501B">
              <w:rPr>
                <w:b/>
                <w:bCs/>
              </w:rPr>
              <w:t>Recommend</w:t>
            </w:r>
            <w:r w:rsidR="00D44AD0">
              <w:t xml:space="preserve"> </w:t>
            </w:r>
            <w:r w:rsidR="00D44AD0" w:rsidRPr="00D44AD0">
              <w:rPr>
                <w:b/>
              </w:rPr>
              <w:t>to Council</w:t>
            </w:r>
            <w:r>
              <w:t xml:space="preserve"> the allocation of </w:t>
            </w:r>
            <w:r w:rsidR="00D44AD0">
              <w:t xml:space="preserve">a </w:t>
            </w:r>
            <w:r>
              <w:t>£2,888,000 capital budget</w:t>
            </w:r>
            <w:r w:rsidR="00D44AD0">
              <w:t xml:space="preserve"> (</w:t>
            </w:r>
            <w:r w:rsidR="002838E7">
              <w:t>of which £1,688,000</w:t>
            </w:r>
            <w:r w:rsidR="009F08B8">
              <w:t xml:space="preserve"> will be borrowed </w:t>
            </w:r>
            <w:r w:rsidR="00341C02">
              <w:t>by</w:t>
            </w:r>
            <w:r w:rsidR="009F08B8">
              <w:t xml:space="preserve"> the </w:t>
            </w:r>
            <w:r w:rsidR="00D44AD0">
              <w:t>Housing Revenue Account)</w:t>
            </w:r>
            <w:r>
              <w:t xml:space="preserve"> </w:t>
            </w:r>
            <w:r w:rsidRPr="73E264C5">
              <w:rPr>
                <w:rFonts w:cs="Arial"/>
              </w:rPr>
              <w:t xml:space="preserve">for the Council’s investment to purchase the properties as part of the Single </w:t>
            </w:r>
            <w:r w:rsidR="009C38CB">
              <w:rPr>
                <w:rFonts w:cs="Arial"/>
              </w:rPr>
              <w:t>H</w:t>
            </w:r>
            <w:r w:rsidRPr="73E264C5">
              <w:rPr>
                <w:rFonts w:cs="Arial"/>
              </w:rPr>
              <w:t>omelessness Accommodation Programme</w:t>
            </w:r>
            <w:r w:rsidR="009F08B8">
              <w:rPr>
                <w:rFonts w:cs="Arial"/>
              </w:rPr>
              <w:t xml:space="preserve"> as outline</w:t>
            </w:r>
            <w:r w:rsidR="00FD5BC7">
              <w:rPr>
                <w:rFonts w:cs="Arial"/>
              </w:rPr>
              <w:t>d</w:t>
            </w:r>
            <w:r w:rsidR="009F08B8">
              <w:rPr>
                <w:rFonts w:cs="Arial"/>
              </w:rPr>
              <w:t xml:space="preserve"> in paragraph 1</w:t>
            </w:r>
            <w:r w:rsidR="009C38CB">
              <w:rPr>
                <w:rFonts w:cs="Arial"/>
              </w:rPr>
              <w:t>9</w:t>
            </w:r>
            <w:r w:rsidR="00341C02">
              <w:rPr>
                <w:rFonts w:cs="Arial"/>
              </w:rPr>
              <w:t>, the balance of whic</w:t>
            </w:r>
            <w:r w:rsidR="00D44AD0">
              <w:rPr>
                <w:rFonts w:cs="Arial"/>
              </w:rPr>
              <w:t>h will be met by the SHAP grant;</w:t>
            </w:r>
          </w:p>
        </w:tc>
      </w:tr>
      <w:tr w:rsidR="0097170F" w:rsidRPr="00975B07" w14:paraId="43181E16" w14:textId="77777777" w:rsidTr="00D44AD0">
        <w:trPr>
          <w:trHeight w:val="283"/>
        </w:trPr>
        <w:tc>
          <w:tcPr>
            <w:tcW w:w="426" w:type="dxa"/>
            <w:tcBorders>
              <w:top w:val="nil"/>
              <w:left w:val="single" w:sz="8" w:space="0" w:color="000000" w:themeColor="text1"/>
              <w:bottom w:val="nil"/>
              <w:right w:val="nil"/>
            </w:tcBorders>
          </w:tcPr>
          <w:p w14:paraId="3AC955FE" w14:textId="77777777" w:rsidR="0097170F" w:rsidRPr="00975B07" w:rsidRDefault="0097170F" w:rsidP="00FB6E8F">
            <w:r w:rsidRPr="00975B07">
              <w:t>3.</w:t>
            </w:r>
          </w:p>
        </w:tc>
        <w:tc>
          <w:tcPr>
            <w:tcW w:w="8419" w:type="dxa"/>
            <w:tcBorders>
              <w:top w:val="nil"/>
              <w:left w:val="nil"/>
              <w:bottom w:val="nil"/>
              <w:right w:val="single" w:sz="8" w:space="0" w:color="000000" w:themeColor="text1"/>
            </w:tcBorders>
            <w:shd w:val="clear" w:color="auto" w:fill="auto"/>
          </w:tcPr>
          <w:p w14:paraId="58F4D18E" w14:textId="28638D79" w:rsidR="0097170F" w:rsidRPr="001356F1" w:rsidRDefault="00FA5895" w:rsidP="00947C8E">
            <w:r w:rsidRPr="00BB501B">
              <w:rPr>
                <w:b/>
              </w:rPr>
              <w:t>Recommend</w:t>
            </w:r>
            <w:r w:rsidR="00D44AD0">
              <w:t xml:space="preserve"> </w:t>
            </w:r>
            <w:r w:rsidR="00D44AD0" w:rsidRPr="00D44AD0">
              <w:rPr>
                <w:b/>
              </w:rPr>
              <w:t>to Council</w:t>
            </w:r>
            <w:r w:rsidR="00D44AD0">
              <w:t xml:space="preserve"> a</w:t>
            </w:r>
            <w:r>
              <w:t xml:space="preserve"> budget allocation </w:t>
            </w:r>
            <w:r w:rsidR="006B6CE4">
              <w:t>of £</w:t>
            </w:r>
            <w:r w:rsidR="00BB501B">
              <w:t>600,000</w:t>
            </w:r>
            <w:r w:rsidR="006B6CE4">
              <w:t xml:space="preserve"> </w:t>
            </w:r>
            <w:r w:rsidR="00FD5BC7">
              <w:t>t</w:t>
            </w:r>
            <w:r w:rsidR="006B6CE4">
              <w:t xml:space="preserve">o cover </w:t>
            </w:r>
            <w:r w:rsidR="00BB501B">
              <w:t>revenue</w:t>
            </w:r>
            <w:r w:rsidR="006B6CE4">
              <w:t xml:space="preserve"> costs to </w:t>
            </w:r>
            <w:r w:rsidR="00BB501B">
              <w:t>commission</w:t>
            </w:r>
            <w:r w:rsidR="006B6CE4">
              <w:t xml:space="preserve"> support providers to deliver support for the 17 units</w:t>
            </w:r>
            <w:r w:rsidR="00B177D6">
              <w:t xml:space="preserve"> of Housing First</w:t>
            </w:r>
            <w:r w:rsidR="00947C8E">
              <w:t xml:space="preserve">. The funding equates to 3 years’ worth of revenue but is </w:t>
            </w:r>
            <w:r w:rsidR="00B177D6">
              <w:t>spread over 4 financial year</w:t>
            </w:r>
            <w:r w:rsidR="004A5440">
              <w:t>s (para 1</w:t>
            </w:r>
            <w:r w:rsidR="009C38CB">
              <w:t>8</w:t>
            </w:r>
            <w:r w:rsidR="004A5440">
              <w:t>)</w:t>
            </w:r>
            <w:r w:rsidR="00D44AD0">
              <w:t>; and</w:t>
            </w:r>
          </w:p>
        </w:tc>
      </w:tr>
      <w:tr w:rsidR="0097170F" w:rsidRPr="00975B07" w14:paraId="220F261C" w14:textId="77777777" w:rsidTr="00D44AD0">
        <w:trPr>
          <w:trHeight w:val="283"/>
        </w:trPr>
        <w:tc>
          <w:tcPr>
            <w:tcW w:w="426" w:type="dxa"/>
            <w:tcBorders>
              <w:top w:val="nil"/>
              <w:left w:val="single" w:sz="8" w:space="0" w:color="000000" w:themeColor="text1"/>
              <w:bottom w:val="single" w:sz="8" w:space="0" w:color="000000" w:themeColor="text1"/>
              <w:right w:val="nil"/>
            </w:tcBorders>
          </w:tcPr>
          <w:p w14:paraId="0F47023E" w14:textId="77777777" w:rsidR="0097170F" w:rsidRPr="00975B07" w:rsidRDefault="0097170F" w:rsidP="00FB6E8F">
            <w:r w:rsidRPr="00975B07">
              <w:t>4.</w:t>
            </w:r>
          </w:p>
        </w:tc>
        <w:tc>
          <w:tcPr>
            <w:tcW w:w="8419" w:type="dxa"/>
            <w:tcBorders>
              <w:top w:val="nil"/>
              <w:left w:val="nil"/>
              <w:bottom w:val="single" w:sz="8" w:space="0" w:color="000000" w:themeColor="text1"/>
              <w:right w:val="single" w:sz="8" w:space="0" w:color="000000" w:themeColor="text1"/>
            </w:tcBorders>
            <w:shd w:val="clear" w:color="auto" w:fill="auto"/>
          </w:tcPr>
          <w:p w14:paraId="322DCC9B" w14:textId="1ED7509F" w:rsidR="0097170F" w:rsidRPr="001356F1" w:rsidRDefault="6DAB02A6" w:rsidP="00FB6E8F">
            <w:r w:rsidRPr="6DAB02A6">
              <w:rPr>
                <w:b/>
                <w:bCs/>
              </w:rPr>
              <w:t xml:space="preserve">Delegate </w:t>
            </w:r>
            <w:r w:rsidRPr="00D44AD0">
              <w:rPr>
                <w:b/>
              </w:rPr>
              <w:t>authority</w:t>
            </w:r>
            <w:r>
              <w:t xml:space="preserve"> to the Executive Director</w:t>
            </w:r>
            <w:r w:rsidR="00D44AD0">
              <w:t xml:space="preserve"> (</w:t>
            </w:r>
            <w:r>
              <w:t>Communities and People</w:t>
            </w:r>
            <w:r w:rsidR="00D44AD0">
              <w:t>) in consultation with</w:t>
            </w:r>
            <w:r>
              <w:t xml:space="preserve"> the Cabinet Member for Housing; the Head of Financial Services/Section 151 Officer; and the Head of Law and Governance/Monitoring Officer, to enter into agreements and contracts to facilitate the purchase by the Council of housing (to be held in the HRA) within the identified budget and within the project approval</w:t>
            </w:r>
            <w:r w:rsidR="009F08B8">
              <w:t xml:space="preserve">, as well as to </w:t>
            </w:r>
            <w:r w:rsidR="009F08B8">
              <w:lastRenderedPageBreak/>
              <w:t xml:space="preserve">enter </w:t>
            </w:r>
            <w:r w:rsidR="00D44AD0">
              <w:t xml:space="preserve">into </w:t>
            </w:r>
            <w:r w:rsidR="009F08B8">
              <w:t>or amend agreements or contracts in relation to support provision (revenue spend) in line with procurement requirements.</w:t>
            </w:r>
          </w:p>
        </w:tc>
      </w:tr>
    </w:tbl>
    <w:p w14:paraId="3AA92C47"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354F0743"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7146ABA" w14:textId="77777777" w:rsidR="00966D42" w:rsidRPr="00975B07" w:rsidRDefault="00966D42" w:rsidP="00263EA3">
            <w:pPr>
              <w:jc w:val="center"/>
            </w:pPr>
            <w:r w:rsidRPr="00745BF0">
              <w:rPr>
                <w:rStyle w:val="Firstpagetablebold"/>
              </w:rPr>
              <w:t>Appendices</w:t>
            </w:r>
          </w:p>
        </w:tc>
      </w:tr>
      <w:tr w:rsidR="00ED5860" w:rsidRPr="00975B07" w14:paraId="33345F87" w14:textId="77777777" w:rsidTr="00D44AD0">
        <w:tc>
          <w:tcPr>
            <w:tcW w:w="2438" w:type="dxa"/>
            <w:tcBorders>
              <w:top w:val="single" w:sz="8" w:space="0" w:color="000000"/>
              <w:left w:val="single" w:sz="8" w:space="0" w:color="000000"/>
              <w:bottom w:val="nil"/>
              <w:right w:val="nil"/>
            </w:tcBorders>
            <w:shd w:val="clear" w:color="auto" w:fill="auto"/>
          </w:tcPr>
          <w:p w14:paraId="33D656D4"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40CDD36A" w14:textId="1C75F1CC" w:rsidR="00ED5860" w:rsidRPr="001356F1" w:rsidRDefault="00D44AD0" w:rsidP="004A6D2F">
            <w:r>
              <w:t>Housing First P</w:t>
            </w:r>
            <w:r w:rsidR="00D131CD">
              <w:t>rinciples</w:t>
            </w:r>
          </w:p>
        </w:tc>
      </w:tr>
      <w:tr w:rsidR="00ED5860" w:rsidRPr="00975B07" w14:paraId="29F7BA26" w14:textId="77777777" w:rsidTr="00D44AD0">
        <w:tc>
          <w:tcPr>
            <w:tcW w:w="2438" w:type="dxa"/>
            <w:tcBorders>
              <w:top w:val="nil"/>
              <w:left w:val="single" w:sz="8" w:space="0" w:color="000000"/>
              <w:bottom w:val="single" w:sz="8" w:space="0" w:color="000000"/>
              <w:right w:val="nil"/>
            </w:tcBorders>
            <w:shd w:val="clear" w:color="auto" w:fill="auto"/>
          </w:tcPr>
          <w:p w14:paraId="7B418599" w14:textId="77777777" w:rsidR="00ED5860" w:rsidRPr="00975B07" w:rsidRDefault="0030208D" w:rsidP="004A6D2F">
            <w:r w:rsidRPr="00975B07">
              <w:t>Appendix 2</w:t>
            </w:r>
          </w:p>
        </w:tc>
        <w:tc>
          <w:tcPr>
            <w:tcW w:w="6406" w:type="dxa"/>
            <w:tcBorders>
              <w:top w:val="nil"/>
              <w:left w:val="nil"/>
              <w:bottom w:val="single" w:sz="8" w:space="0" w:color="000000"/>
              <w:right w:val="single" w:sz="8" w:space="0" w:color="000000"/>
            </w:tcBorders>
          </w:tcPr>
          <w:p w14:paraId="1BAF2A55" w14:textId="77777777" w:rsidR="00ED5860" w:rsidRPr="001356F1" w:rsidRDefault="00FD681E" w:rsidP="004A6D2F">
            <w:r>
              <w:t>Risk Register</w:t>
            </w:r>
          </w:p>
        </w:tc>
      </w:tr>
    </w:tbl>
    <w:p w14:paraId="7A2A23DF"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3DAF12A1" w14:textId="1B21CA56" w:rsidR="00F865A3" w:rsidRDefault="001C6440" w:rsidP="00D44AD0">
      <w:pPr>
        <w:pStyle w:val="Heading1"/>
        <w:numPr>
          <w:ilvl w:val="0"/>
          <w:numId w:val="35"/>
        </w:numPr>
        <w:ind w:left="357" w:hanging="357"/>
        <w:rPr>
          <w:b w:val="0"/>
        </w:rPr>
      </w:pPr>
      <w:r>
        <w:rPr>
          <w:b w:val="0"/>
        </w:rPr>
        <w:t xml:space="preserve">In 2021/22 the Council </w:t>
      </w:r>
      <w:r w:rsidR="000833C8">
        <w:rPr>
          <w:b w:val="0"/>
        </w:rPr>
        <w:t xml:space="preserve">implemented </w:t>
      </w:r>
      <w:r>
        <w:rPr>
          <w:b w:val="0"/>
        </w:rPr>
        <w:t>a Housing First programme, to help resolve the homelessness of some of the most disadvantage</w:t>
      </w:r>
      <w:r w:rsidR="00257BC9">
        <w:rPr>
          <w:b w:val="0"/>
        </w:rPr>
        <w:t>d</w:t>
      </w:r>
      <w:r>
        <w:rPr>
          <w:b w:val="0"/>
        </w:rPr>
        <w:t xml:space="preserve"> people in our community. Cabinet approved a capital programme of acquisition (11 November 2020) </w:t>
      </w:r>
      <w:r w:rsidR="000D72B4">
        <w:rPr>
          <w:b w:val="0"/>
        </w:rPr>
        <w:t>and the procurement of a support service (16 June 2021) to enable the service to be established.</w:t>
      </w:r>
    </w:p>
    <w:p w14:paraId="006A84A2" w14:textId="77777777" w:rsidR="000D72B4" w:rsidRDefault="000D72B4" w:rsidP="00D44AD0">
      <w:pPr>
        <w:pStyle w:val="ListParagraph"/>
        <w:numPr>
          <w:ilvl w:val="0"/>
          <w:numId w:val="35"/>
        </w:numPr>
        <w:ind w:left="357" w:hanging="357"/>
      </w:pPr>
      <w:r>
        <w:t xml:space="preserve">The project was funded by successful capital and revenue bids from two of the Department of Levelling Up, Housing and Communities (DLUHC) rough sleeping programmes. These were the Next Steps Accommodation Programme (NSAP) and the Rough Sleeping Accommodation Programme (RSAP). </w:t>
      </w:r>
    </w:p>
    <w:p w14:paraId="116EDBAC" w14:textId="5BA0E7F2" w:rsidR="000D72B4" w:rsidRDefault="000D72B4" w:rsidP="00D44AD0">
      <w:pPr>
        <w:pStyle w:val="ListParagraph"/>
        <w:numPr>
          <w:ilvl w:val="0"/>
          <w:numId w:val="35"/>
        </w:numPr>
        <w:ind w:left="357" w:hanging="357"/>
      </w:pPr>
      <w:r>
        <w:t xml:space="preserve">These programmes provided capital funding to purchase 15 self-contained units, and revenue funding for a support service for these and 25 further properties (20 to be made available from council </w:t>
      </w:r>
      <w:r w:rsidR="000833C8">
        <w:t xml:space="preserve">housing </w:t>
      </w:r>
      <w:r>
        <w:t>stock and 5 to be provided by A2 Dominion).</w:t>
      </w:r>
      <w:r w:rsidR="00DB0BBC">
        <w:t xml:space="preserve"> </w:t>
      </w:r>
    </w:p>
    <w:p w14:paraId="64EE1E64" w14:textId="79FE3B0D" w:rsidR="000D72B4" w:rsidRDefault="6DAB02A6" w:rsidP="00D44AD0">
      <w:pPr>
        <w:pStyle w:val="ListParagraph"/>
        <w:numPr>
          <w:ilvl w:val="0"/>
          <w:numId w:val="35"/>
        </w:numPr>
        <w:ind w:left="357" w:hanging="357"/>
      </w:pPr>
      <w:r>
        <w:t xml:space="preserve">This year a third programme, the Single Homelessness Accommodation Programme, has been launched by DLUHC. The council has successfully bid for £1.2 million to support the purchase of a further 12 units, and revenue funding of £600,000 </w:t>
      </w:r>
      <w:r w:rsidR="00B14C2B">
        <w:t xml:space="preserve">to support </w:t>
      </w:r>
      <w:r>
        <w:t>these</w:t>
      </w:r>
      <w:r w:rsidR="00F90505">
        <w:t xml:space="preserve"> 12 units</w:t>
      </w:r>
      <w:r>
        <w:t xml:space="preserve"> and a further 5 properties (to be made available from existing council housing stock). The revenue funding will provide three years of support for each property. The properties will be purchased by the Council’s Housing Revenue Account, partially supported by the SHAP grant. This report seeks approval for the delivery of this extension to the Housing First programme.</w:t>
      </w:r>
    </w:p>
    <w:p w14:paraId="1E10BD8E" w14:textId="77777777" w:rsidR="0091260F" w:rsidRPr="00FD681E" w:rsidRDefault="0091260F" w:rsidP="00D44AD0">
      <w:pPr>
        <w:pStyle w:val="ListParagraph"/>
        <w:numPr>
          <w:ilvl w:val="0"/>
          <w:numId w:val="0"/>
        </w:numPr>
        <w:rPr>
          <w:b/>
        </w:rPr>
      </w:pPr>
      <w:r w:rsidRPr="00FD681E">
        <w:rPr>
          <w:b/>
        </w:rPr>
        <w:t>Housing First</w:t>
      </w:r>
    </w:p>
    <w:p w14:paraId="0344BCDE" w14:textId="77777777" w:rsidR="0091260F" w:rsidRDefault="0091260F" w:rsidP="004E68ED">
      <w:pPr>
        <w:pStyle w:val="ListParagraph"/>
        <w:numPr>
          <w:ilvl w:val="0"/>
          <w:numId w:val="35"/>
        </w:numPr>
        <w:ind w:left="357" w:hanging="357"/>
      </w:pPr>
      <w:r>
        <w:t xml:space="preserve">Housing First is an internationally evidenced housing intervention, which has proven successful in supporting people with multiple and complex needs to maintain housing. The main premise is that an individual should not need to prove they are ready for housing and is instead given a permanent offer of their own home, along with an intensive long-term support package to enable them to maintain it. A permanent offer of a home does not mean that they will remain in the same place for the rest of their life. It means that the offer of housing is permanent; if they lose or leave their accommodation they will be supported to find another home. </w:t>
      </w:r>
    </w:p>
    <w:p w14:paraId="7F0E40AD" w14:textId="77777777" w:rsidR="0091260F" w:rsidRDefault="0091260F" w:rsidP="004E68ED">
      <w:pPr>
        <w:pStyle w:val="ListParagraph"/>
        <w:numPr>
          <w:ilvl w:val="0"/>
          <w:numId w:val="35"/>
        </w:numPr>
        <w:ind w:left="357" w:hanging="357"/>
      </w:pPr>
      <w:r>
        <w:t xml:space="preserve">It is acknowledged that the Housing First cohort may experience difficulties along the way, but that support will always be there. Unlike traditional homelessness services, the only condition placed on the individual is a willingness to maintain a tenancy. Support is bespoke to the needs of the individual, and they are able to engage with this on their own terms. The support and accommodation are not linked and are generally not delivered by the same provider. This means support can flex according to the person’s needs and aspirations over time. </w:t>
      </w:r>
    </w:p>
    <w:p w14:paraId="60D4173F" w14:textId="77FA71CD" w:rsidR="0091260F" w:rsidRDefault="0091260F" w:rsidP="004E68ED">
      <w:pPr>
        <w:pStyle w:val="ListParagraph"/>
        <w:numPr>
          <w:ilvl w:val="0"/>
          <w:numId w:val="35"/>
        </w:numPr>
        <w:ind w:left="357" w:hanging="357"/>
      </w:pPr>
      <w:r>
        <w:lastRenderedPageBreak/>
        <w:t>The delivery of more Housing First accommodation is a key element of both the Council’s new Housing</w:t>
      </w:r>
      <w:r w:rsidR="0053005C">
        <w:t>,</w:t>
      </w:r>
      <w:r>
        <w:t xml:space="preserve"> Homelessness</w:t>
      </w:r>
      <w:r w:rsidR="0053005C">
        <w:t xml:space="preserve"> and Rough Sleeping</w:t>
      </w:r>
      <w:r>
        <w:t xml:space="preserve"> Strategy, and the Countywide Homelessness Strategy</w:t>
      </w:r>
      <w:r w:rsidRPr="00FD681E">
        <w:t>.</w:t>
      </w:r>
      <w:r w:rsidR="0053005C">
        <w:t xml:space="preserve"> Enabling the delivery of more Housing First units is integral to the success of both strategies, which </w:t>
      </w:r>
      <w:r w:rsidR="00C419FC">
        <w:t>seeks transformation</w:t>
      </w:r>
      <w:r w:rsidR="0053005C">
        <w:t xml:space="preserve"> in our approach to rough sleeping and single homelessness, so that we can ultimately end the need to sleep rough in the city.</w:t>
      </w:r>
      <w:r w:rsidRPr="00FD681E">
        <w:t xml:space="preserve"> Appendix </w:t>
      </w:r>
      <w:r w:rsidR="00F90505">
        <w:t>1</w:t>
      </w:r>
      <w:r w:rsidR="00F90505" w:rsidRPr="00FD681E">
        <w:t xml:space="preserve"> </w:t>
      </w:r>
      <w:r w:rsidRPr="00FD681E">
        <w:t>provides</w:t>
      </w:r>
      <w:r>
        <w:t xml:space="preserve"> a summary of Housing First principles.</w:t>
      </w:r>
    </w:p>
    <w:p w14:paraId="438CBA1B" w14:textId="77777777" w:rsidR="0091260F" w:rsidRPr="00FD681E" w:rsidRDefault="0091260F" w:rsidP="00D44AD0">
      <w:pPr>
        <w:pStyle w:val="ListParagraph"/>
        <w:numPr>
          <w:ilvl w:val="0"/>
          <w:numId w:val="0"/>
        </w:numPr>
        <w:rPr>
          <w:b/>
        </w:rPr>
      </w:pPr>
      <w:r w:rsidRPr="00FD681E">
        <w:rPr>
          <w:b/>
        </w:rPr>
        <w:t>Housing First in Oxford</w:t>
      </w:r>
    </w:p>
    <w:p w14:paraId="08CC7F12" w14:textId="34188DED" w:rsidR="0091260F" w:rsidRDefault="0091260F" w:rsidP="004E68ED">
      <w:pPr>
        <w:pStyle w:val="ListParagraph"/>
        <w:numPr>
          <w:ilvl w:val="0"/>
          <w:numId w:val="35"/>
        </w:numPr>
        <w:ind w:left="357" w:hanging="357"/>
      </w:pPr>
      <w:r>
        <w:t>The current Housing First programme</w:t>
      </w:r>
      <w:r w:rsidR="00DB0BBC">
        <w:t xml:space="preserve"> </w:t>
      </w:r>
      <w:r>
        <w:t xml:space="preserve">in Oxford </w:t>
      </w:r>
      <w:r w:rsidR="00DB0BBC">
        <w:t xml:space="preserve">(as outlined in paragraphs 1-3) </w:t>
      </w:r>
      <w:r>
        <w:t xml:space="preserve">is delivered by St Mungo’s and A2 Dominion. Two providers were commissioned in order to provide choice to residents. There are </w:t>
      </w:r>
      <w:r w:rsidRPr="00FD681E">
        <w:t xml:space="preserve">currently </w:t>
      </w:r>
      <w:r w:rsidR="00FD681E" w:rsidRPr="00FD681E">
        <w:t>21</w:t>
      </w:r>
      <w:r w:rsidRPr="00FD681E">
        <w:t xml:space="preserve"> Housing First properties occupied</w:t>
      </w:r>
      <w:r w:rsidR="00FD681E" w:rsidRPr="00FD681E">
        <w:t>, and</w:t>
      </w:r>
      <w:r w:rsidR="00FD681E">
        <w:t xml:space="preserve"> tenants </w:t>
      </w:r>
      <w:r w:rsidR="000A38FB">
        <w:t xml:space="preserve">are </w:t>
      </w:r>
      <w:r w:rsidR="00FD681E">
        <w:t xml:space="preserve">due to move into a further </w:t>
      </w:r>
      <w:r w:rsidR="000A38FB">
        <w:t xml:space="preserve">five </w:t>
      </w:r>
      <w:r w:rsidR="00B14C2B">
        <w:t>properties</w:t>
      </w:r>
      <w:r w:rsidR="00947C8E">
        <w:t xml:space="preserve"> imminently</w:t>
      </w:r>
      <w:r w:rsidR="00FD5BC7">
        <w:t xml:space="preserve">. The </w:t>
      </w:r>
      <w:r>
        <w:t xml:space="preserve">first tenancy </w:t>
      </w:r>
      <w:r w:rsidR="00FD5BC7">
        <w:t xml:space="preserve">commenced </w:t>
      </w:r>
      <w:r>
        <w:t xml:space="preserve">in March 2022. </w:t>
      </w:r>
    </w:p>
    <w:p w14:paraId="188473E8" w14:textId="5D5D2721" w:rsidR="00914107" w:rsidRDefault="6DAB02A6" w:rsidP="004E68ED">
      <w:pPr>
        <w:pStyle w:val="ListParagraph"/>
        <w:numPr>
          <w:ilvl w:val="0"/>
          <w:numId w:val="35"/>
        </w:numPr>
        <w:ind w:left="357" w:hanging="357"/>
      </w:pPr>
      <w:r>
        <w:t xml:space="preserve">The Council’s aim for this project has been to deliver a </w:t>
      </w:r>
      <w:r w:rsidR="00F90505">
        <w:t>high-fidelity</w:t>
      </w:r>
      <w:r>
        <w:t xml:space="preserve"> Housing First project. This is because the evidence from a range of projects nationally shows that high fidelity models which adhere to the Housing First principles closely have the best chances of success.</w:t>
      </w:r>
      <w:r w:rsidR="00914107">
        <w:t xml:space="preserve"> Under the Housing First model, </w:t>
      </w:r>
      <w:r w:rsidR="001E20F5">
        <w:t xml:space="preserve">providers have been able to assist </w:t>
      </w:r>
      <w:r>
        <w:t>the most vulnerable people and/or those with the most chaotic housing history</w:t>
      </w:r>
      <w:r w:rsidR="00FD5BC7">
        <w:t xml:space="preserve"> in the </w:t>
      </w:r>
      <w:r w:rsidR="00C419FC">
        <w:t>city</w:t>
      </w:r>
      <w:r>
        <w:t xml:space="preserve"> </w:t>
      </w:r>
      <w:r w:rsidR="001E20F5">
        <w:t xml:space="preserve">into stable accommodation. </w:t>
      </w:r>
    </w:p>
    <w:p w14:paraId="2833802D" w14:textId="4A481E66" w:rsidR="00D131CD" w:rsidRDefault="00914107" w:rsidP="004E68ED">
      <w:pPr>
        <w:pStyle w:val="ListParagraph"/>
        <w:numPr>
          <w:ilvl w:val="0"/>
          <w:numId w:val="35"/>
        </w:numPr>
        <w:ind w:left="357" w:hanging="357"/>
      </w:pPr>
      <w:r>
        <w:t>At the time of writing there had been no evictions or abandonments from any of these properties. This is a considerable success, with the average tenancy sustainment rate for Housing First nationally being 80%.</w:t>
      </w:r>
      <w:r w:rsidR="002B7512">
        <w:t xml:space="preserve"> </w:t>
      </w:r>
      <w:r w:rsidR="6DAB02A6">
        <w:t>A crucial factor in the success of the project has been the close working with Tenancy Management</w:t>
      </w:r>
      <w:r w:rsidR="000A38FB">
        <w:t xml:space="preserve">, </w:t>
      </w:r>
      <w:r w:rsidR="002B7512">
        <w:t xml:space="preserve">the </w:t>
      </w:r>
      <w:r w:rsidR="000A38FB">
        <w:t>Rents</w:t>
      </w:r>
      <w:r w:rsidR="6DAB02A6">
        <w:t xml:space="preserve"> </w:t>
      </w:r>
      <w:r w:rsidR="002B7512">
        <w:t xml:space="preserve">Team </w:t>
      </w:r>
      <w:r w:rsidR="6DAB02A6">
        <w:t>and Antisocial Behaviour Teams, as well as external partners like Thames Valley Police and Turning Point (provision of drug and alcohol misuse services).</w:t>
      </w:r>
    </w:p>
    <w:p w14:paraId="2F6F102D" w14:textId="00C4D1A3" w:rsidR="00B14C2B" w:rsidRDefault="6DAB02A6" w:rsidP="004E68ED">
      <w:pPr>
        <w:pStyle w:val="ListParagraph"/>
        <w:numPr>
          <w:ilvl w:val="0"/>
          <w:numId w:val="35"/>
        </w:numPr>
        <w:ind w:left="357" w:hanging="357"/>
      </w:pPr>
      <w:r>
        <w:t xml:space="preserve">Despite the success of </w:t>
      </w:r>
      <w:r w:rsidR="00914107">
        <w:t xml:space="preserve">Housing First in Oxford </w:t>
      </w:r>
      <w:r>
        <w:t xml:space="preserve">so far, it is not without its challenges. </w:t>
      </w:r>
      <w:r w:rsidR="00914107">
        <w:t xml:space="preserve">One of the main challenges has been to release units of housing stock into the project. </w:t>
      </w:r>
      <w:r>
        <w:t xml:space="preserve">Owing to the high demand for one bed properties, it has been difficult to release sufficient units of stock for this project, without disadvantaging other groups in high housing need, such as care leavers or people in temporary accommodation awaiting a home. </w:t>
      </w:r>
      <w:r w:rsidR="002B7512">
        <w:t>With</w:t>
      </w:r>
      <w:r w:rsidR="001E20F5">
        <w:t xml:space="preserve"> 21 units </w:t>
      </w:r>
      <w:r w:rsidR="00D2079E">
        <w:t xml:space="preserve">occupied, </w:t>
      </w:r>
      <w:r w:rsidR="002B7512">
        <w:t xml:space="preserve">and a </w:t>
      </w:r>
      <w:r w:rsidR="00D2079E">
        <w:t xml:space="preserve">further </w:t>
      </w:r>
      <w:r w:rsidR="000A38FB">
        <w:t>5</w:t>
      </w:r>
      <w:r w:rsidR="00D2079E">
        <w:t xml:space="preserve"> soon available making the total units available to the current provision of </w:t>
      </w:r>
      <w:r w:rsidR="00B14C2B">
        <w:t xml:space="preserve">Housing First </w:t>
      </w:r>
      <w:r w:rsidR="00D2079E">
        <w:t>2</w:t>
      </w:r>
      <w:r w:rsidR="000A38FB">
        <w:t>6</w:t>
      </w:r>
      <w:r w:rsidR="00D2079E">
        <w:t xml:space="preserve"> </w:t>
      </w:r>
      <w:r w:rsidR="001E20F5">
        <w:t>out of the 40 units that were planned and bid for under NSAP and RSAP</w:t>
      </w:r>
      <w:r w:rsidR="002B7512">
        <w:t>.</w:t>
      </w:r>
    </w:p>
    <w:p w14:paraId="03BCE56A" w14:textId="640C4D67" w:rsidR="000B49CB" w:rsidRDefault="6DAB02A6" w:rsidP="004E68ED">
      <w:pPr>
        <w:pStyle w:val="ListParagraph"/>
        <w:numPr>
          <w:ilvl w:val="0"/>
          <w:numId w:val="35"/>
        </w:numPr>
        <w:ind w:left="357" w:hanging="357"/>
      </w:pPr>
      <w:r>
        <w:t xml:space="preserve">An increase in supply has fed through to more properties being made available for Housing First this year, and we aim to reach a total of </w:t>
      </w:r>
      <w:r w:rsidR="000A38FB" w:rsidRPr="004A5440">
        <w:t>35</w:t>
      </w:r>
      <w:r w:rsidR="001E20F5" w:rsidRPr="004A5440">
        <w:t xml:space="preserve"> </w:t>
      </w:r>
      <w:r w:rsidR="00C419FC" w:rsidRPr="004A5440">
        <w:t xml:space="preserve">units </w:t>
      </w:r>
      <w:r w:rsidR="00C419FC">
        <w:t>by</w:t>
      </w:r>
      <w:r>
        <w:t xml:space="preserve"> the end of </w:t>
      </w:r>
      <w:r w:rsidR="001E20F5">
        <w:t xml:space="preserve">2023/24 </w:t>
      </w:r>
      <w:r>
        <w:t xml:space="preserve">for the </w:t>
      </w:r>
      <w:r w:rsidR="001E20F5">
        <w:t xml:space="preserve">current </w:t>
      </w:r>
      <w:r>
        <w:t>programme</w:t>
      </w:r>
      <w:r w:rsidR="000A38FB">
        <w:t xml:space="preserve">. This will be achieved by </w:t>
      </w:r>
      <w:r w:rsidR="00B14C2B">
        <w:t>releasing 8 more units from the Council’s existing stock</w:t>
      </w:r>
      <w:r w:rsidR="000A38FB">
        <w:t xml:space="preserve"> along with an additional unit from A2Dominion’s stock in city</w:t>
      </w:r>
      <w:r>
        <w:t>.</w:t>
      </w:r>
    </w:p>
    <w:p w14:paraId="5AC8FF62" w14:textId="445F3E6F" w:rsidR="00D131CD" w:rsidRDefault="00D2079E" w:rsidP="004E68ED">
      <w:pPr>
        <w:pStyle w:val="ListParagraph"/>
        <w:numPr>
          <w:ilvl w:val="0"/>
          <w:numId w:val="35"/>
        </w:numPr>
        <w:ind w:left="357" w:hanging="357"/>
      </w:pPr>
      <w:r>
        <w:t>Further breakdown of units available:</w:t>
      </w:r>
    </w:p>
    <w:p w14:paraId="294818D4" w14:textId="77777777" w:rsidR="00A772E0" w:rsidRDefault="00A772E0" w:rsidP="00A772E0"/>
    <w:p w14:paraId="398EF029" w14:textId="77777777" w:rsidR="00A772E0" w:rsidRDefault="00A772E0" w:rsidP="00A772E0"/>
    <w:p w14:paraId="55E2420A" w14:textId="77777777" w:rsidR="004E68ED" w:rsidRDefault="004E68ED" w:rsidP="004E68ED">
      <w:pPr>
        <w:pStyle w:val="ListParagraph"/>
        <w:numPr>
          <w:ilvl w:val="0"/>
          <w:numId w:val="0"/>
        </w:numPr>
        <w:ind w:left="357"/>
      </w:pPr>
    </w:p>
    <w:tbl>
      <w:tblPr>
        <w:tblStyle w:val="TableGrid"/>
        <w:tblW w:w="0" w:type="auto"/>
        <w:jc w:val="center"/>
        <w:tblLook w:val="04A0" w:firstRow="1" w:lastRow="0" w:firstColumn="1" w:lastColumn="0" w:noHBand="0" w:noVBand="1"/>
      </w:tblPr>
      <w:tblGrid>
        <w:gridCol w:w="2405"/>
        <w:gridCol w:w="1701"/>
        <w:gridCol w:w="1385"/>
        <w:gridCol w:w="1803"/>
      </w:tblGrid>
      <w:tr w:rsidR="00C419FC" w:rsidRPr="00250F2D" w14:paraId="700DAEFD" w14:textId="77777777" w:rsidTr="00E068C1">
        <w:trPr>
          <w:jc w:val="center"/>
        </w:trPr>
        <w:tc>
          <w:tcPr>
            <w:tcW w:w="2405" w:type="dxa"/>
            <w:tcBorders>
              <w:top w:val="nil"/>
              <w:left w:val="nil"/>
              <w:bottom w:val="single" w:sz="4" w:space="0" w:color="auto"/>
              <w:right w:val="single" w:sz="4" w:space="0" w:color="auto"/>
            </w:tcBorders>
          </w:tcPr>
          <w:p w14:paraId="332D29A5" w14:textId="77777777" w:rsidR="00C419FC" w:rsidRPr="00250F2D" w:rsidRDefault="00C419FC" w:rsidP="00E068C1">
            <w:pPr>
              <w:rPr>
                <w:rFonts w:cs="Arial"/>
              </w:rPr>
            </w:pPr>
          </w:p>
        </w:tc>
        <w:tc>
          <w:tcPr>
            <w:tcW w:w="1701" w:type="dxa"/>
            <w:tcBorders>
              <w:left w:val="single" w:sz="4" w:space="0" w:color="auto"/>
            </w:tcBorders>
            <w:shd w:val="clear" w:color="auto" w:fill="D9D9D9" w:themeFill="background1" w:themeFillShade="D9"/>
          </w:tcPr>
          <w:p w14:paraId="66A375A2" w14:textId="77777777" w:rsidR="00C419FC" w:rsidRPr="00250F2D" w:rsidRDefault="00C419FC" w:rsidP="00E068C1">
            <w:pPr>
              <w:jc w:val="center"/>
              <w:rPr>
                <w:rFonts w:cs="Arial"/>
                <w:b/>
                <w:bCs/>
              </w:rPr>
            </w:pPr>
            <w:r>
              <w:rPr>
                <w:rFonts w:cs="Arial"/>
                <w:b/>
                <w:bCs/>
              </w:rPr>
              <w:t>NSAP/RSAP  funded</w:t>
            </w:r>
          </w:p>
        </w:tc>
        <w:tc>
          <w:tcPr>
            <w:tcW w:w="1385" w:type="dxa"/>
            <w:shd w:val="clear" w:color="auto" w:fill="D9D9D9" w:themeFill="background1" w:themeFillShade="D9"/>
          </w:tcPr>
          <w:p w14:paraId="27E4A7C3" w14:textId="4702451B" w:rsidR="00C419FC" w:rsidRPr="00250F2D" w:rsidRDefault="00C419FC" w:rsidP="00E068C1">
            <w:pPr>
              <w:jc w:val="center"/>
              <w:rPr>
                <w:rFonts w:cs="Arial"/>
                <w:b/>
                <w:bCs/>
              </w:rPr>
            </w:pPr>
            <w:r>
              <w:rPr>
                <w:rFonts w:cs="Arial"/>
                <w:b/>
                <w:bCs/>
              </w:rPr>
              <w:t>Units available</w:t>
            </w:r>
            <w:r w:rsidRPr="00250F2D">
              <w:rPr>
                <w:rFonts w:cs="Arial"/>
                <w:b/>
                <w:bCs/>
              </w:rPr>
              <w:t xml:space="preserve"> Jun</w:t>
            </w:r>
            <w:r w:rsidR="004E68ED">
              <w:rPr>
                <w:rFonts w:cs="Arial"/>
                <w:b/>
                <w:bCs/>
              </w:rPr>
              <w:t>e</w:t>
            </w:r>
            <w:r w:rsidRPr="00250F2D">
              <w:rPr>
                <w:rFonts w:cs="Arial"/>
                <w:b/>
                <w:bCs/>
              </w:rPr>
              <w:t xml:space="preserve"> 23</w:t>
            </w:r>
          </w:p>
        </w:tc>
        <w:tc>
          <w:tcPr>
            <w:tcW w:w="1803" w:type="dxa"/>
            <w:shd w:val="clear" w:color="auto" w:fill="D9D9D9" w:themeFill="background1" w:themeFillShade="D9"/>
          </w:tcPr>
          <w:p w14:paraId="0A04AA80" w14:textId="3D21EABC" w:rsidR="00C419FC" w:rsidRPr="00250F2D" w:rsidRDefault="00C419FC" w:rsidP="00E068C1">
            <w:pPr>
              <w:jc w:val="center"/>
              <w:rPr>
                <w:rFonts w:cs="Arial"/>
                <w:b/>
                <w:bCs/>
              </w:rPr>
            </w:pPr>
            <w:r>
              <w:rPr>
                <w:rFonts w:cs="Arial"/>
                <w:b/>
                <w:bCs/>
              </w:rPr>
              <w:t>Estimated units available Mar</w:t>
            </w:r>
            <w:r w:rsidR="004E68ED">
              <w:rPr>
                <w:rFonts w:cs="Arial"/>
                <w:b/>
                <w:bCs/>
              </w:rPr>
              <w:t>ch</w:t>
            </w:r>
            <w:r>
              <w:rPr>
                <w:rFonts w:cs="Arial"/>
                <w:b/>
                <w:bCs/>
              </w:rPr>
              <w:t xml:space="preserve"> 24</w:t>
            </w:r>
          </w:p>
        </w:tc>
      </w:tr>
      <w:tr w:rsidR="00C419FC" w:rsidRPr="00250F2D" w14:paraId="225916FA" w14:textId="77777777" w:rsidTr="00E068C1">
        <w:trPr>
          <w:jc w:val="center"/>
        </w:trPr>
        <w:tc>
          <w:tcPr>
            <w:tcW w:w="2405" w:type="dxa"/>
            <w:tcBorders>
              <w:top w:val="single" w:sz="4" w:space="0" w:color="auto"/>
            </w:tcBorders>
            <w:shd w:val="clear" w:color="auto" w:fill="D9D9D9" w:themeFill="background1" w:themeFillShade="D9"/>
          </w:tcPr>
          <w:p w14:paraId="57FF0C7B" w14:textId="77777777" w:rsidR="00C419FC" w:rsidRPr="00250F2D" w:rsidRDefault="00C419FC" w:rsidP="00E068C1">
            <w:pPr>
              <w:rPr>
                <w:rFonts w:cs="Arial"/>
              </w:rPr>
            </w:pPr>
            <w:r w:rsidRPr="00250F2D">
              <w:rPr>
                <w:rFonts w:cs="Arial"/>
              </w:rPr>
              <w:t>Oxford City to purchase</w:t>
            </w:r>
          </w:p>
        </w:tc>
        <w:tc>
          <w:tcPr>
            <w:tcW w:w="1701" w:type="dxa"/>
          </w:tcPr>
          <w:p w14:paraId="6E8EAC2A" w14:textId="77777777" w:rsidR="00C419FC" w:rsidRPr="00250F2D" w:rsidRDefault="00C419FC" w:rsidP="00E068C1">
            <w:pPr>
              <w:jc w:val="center"/>
              <w:rPr>
                <w:rFonts w:cs="Arial"/>
              </w:rPr>
            </w:pPr>
            <w:r w:rsidRPr="00250F2D">
              <w:rPr>
                <w:rFonts w:cs="Arial"/>
              </w:rPr>
              <w:t>15</w:t>
            </w:r>
          </w:p>
        </w:tc>
        <w:tc>
          <w:tcPr>
            <w:tcW w:w="1385" w:type="dxa"/>
          </w:tcPr>
          <w:p w14:paraId="726FAD28" w14:textId="77777777" w:rsidR="00C419FC" w:rsidRPr="00250F2D" w:rsidRDefault="00C419FC" w:rsidP="00E068C1">
            <w:pPr>
              <w:jc w:val="center"/>
              <w:rPr>
                <w:rFonts w:cs="Arial"/>
              </w:rPr>
            </w:pPr>
            <w:r w:rsidRPr="00250F2D">
              <w:rPr>
                <w:rFonts w:cs="Arial"/>
              </w:rPr>
              <w:t>15</w:t>
            </w:r>
          </w:p>
        </w:tc>
        <w:tc>
          <w:tcPr>
            <w:tcW w:w="1803" w:type="dxa"/>
          </w:tcPr>
          <w:p w14:paraId="4152D8EF" w14:textId="77777777" w:rsidR="00C419FC" w:rsidRPr="00250F2D" w:rsidRDefault="00C419FC" w:rsidP="00E068C1">
            <w:pPr>
              <w:jc w:val="center"/>
              <w:rPr>
                <w:rFonts w:cs="Arial"/>
              </w:rPr>
            </w:pPr>
            <w:r w:rsidRPr="00250F2D">
              <w:rPr>
                <w:rFonts w:cs="Arial"/>
              </w:rPr>
              <w:t>15</w:t>
            </w:r>
          </w:p>
        </w:tc>
      </w:tr>
      <w:tr w:rsidR="00C419FC" w:rsidRPr="00250F2D" w14:paraId="3A911EFC" w14:textId="77777777" w:rsidTr="00E068C1">
        <w:trPr>
          <w:jc w:val="center"/>
        </w:trPr>
        <w:tc>
          <w:tcPr>
            <w:tcW w:w="2405" w:type="dxa"/>
            <w:shd w:val="clear" w:color="auto" w:fill="D9D9D9" w:themeFill="background1" w:themeFillShade="D9"/>
          </w:tcPr>
          <w:p w14:paraId="4ED3399B" w14:textId="77777777" w:rsidR="00C419FC" w:rsidRPr="00250F2D" w:rsidRDefault="00C419FC" w:rsidP="00E068C1">
            <w:pPr>
              <w:rPr>
                <w:rFonts w:cs="Arial"/>
              </w:rPr>
            </w:pPr>
            <w:r w:rsidRPr="00250F2D">
              <w:rPr>
                <w:rFonts w:cs="Arial"/>
              </w:rPr>
              <w:t>Oxford City to release from existing stock</w:t>
            </w:r>
          </w:p>
        </w:tc>
        <w:tc>
          <w:tcPr>
            <w:tcW w:w="1701" w:type="dxa"/>
          </w:tcPr>
          <w:p w14:paraId="1855BF69" w14:textId="77777777" w:rsidR="00C419FC" w:rsidRPr="00250F2D" w:rsidRDefault="00C419FC" w:rsidP="00E068C1">
            <w:pPr>
              <w:jc w:val="center"/>
              <w:rPr>
                <w:rFonts w:cs="Arial"/>
              </w:rPr>
            </w:pPr>
            <w:r w:rsidRPr="00250F2D">
              <w:rPr>
                <w:rFonts w:cs="Arial"/>
              </w:rPr>
              <w:t>20</w:t>
            </w:r>
          </w:p>
        </w:tc>
        <w:tc>
          <w:tcPr>
            <w:tcW w:w="1385" w:type="dxa"/>
          </w:tcPr>
          <w:p w14:paraId="2C9CD94A" w14:textId="77777777" w:rsidR="00C419FC" w:rsidRPr="00250F2D" w:rsidRDefault="00C419FC" w:rsidP="00E068C1">
            <w:pPr>
              <w:jc w:val="center"/>
              <w:rPr>
                <w:rFonts w:cs="Arial"/>
              </w:rPr>
            </w:pPr>
            <w:r>
              <w:rPr>
                <w:rFonts w:cs="Arial"/>
              </w:rPr>
              <w:t>7</w:t>
            </w:r>
          </w:p>
        </w:tc>
        <w:tc>
          <w:tcPr>
            <w:tcW w:w="1803" w:type="dxa"/>
          </w:tcPr>
          <w:p w14:paraId="1848C3ED" w14:textId="77777777" w:rsidR="00C419FC" w:rsidRPr="00250F2D" w:rsidRDefault="00C419FC" w:rsidP="00E068C1">
            <w:pPr>
              <w:jc w:val="center"/>
              <w:rPr>
                <w:rFonts w:cs="Arial"/>
              </w:rPr>
            </w:pPr>
            <w:r w:rsidRPr="00250F2D">
              <w:rPr>
                <w:rFonts w:cs="Arial"/>
              </w:rPr>
              <w:t>1</w:t>
            </w:r>
            <w:r>
              <w:rPr>
                <w:rFonts w:cs="Arial"/>
              </w:rPr>
              <w:t>5</w:t>
            </w:r>
          </w:p>
        </w:tc>
      </w:tr>
      <w:tr w:rsidR="00C419FC" w:rsidRPr="00250F2D" w14:paraId="46C2837A" w14:textId="77777777" w:rsidTr="00E068C1">
        <w:trPr>
          <w:jc w:val="center"/>
        </w:trPr>
        <w:tc>
          <w:tcPr>
            <w:tcW w:w="2405" w:type="dxa"/>
            <w:tcBorders>
              <w:bottom w:val="single" w:sz="12" w:space="0" w:color="auto"/>
            </w:tcBorders>
            <w:shd w:val="clear" w:color="auto" w:fill="D9D9D9" w:themeFill="background1" w:themeFillShade="D9"/>
          </w:tcPr>
          <w:p w14:paraId="6C5E72C0" w14:textId="77777777" w:rsidR="00C419FC" w:rsidRPr="00250F2D" w:rsidRDefault="00C419FC" w:rsidP="00E068C1">
            <w:pPr>
              <w:rPr>
                <w:rFonts w:cs="Arial"/>
              </w:rPr>
            </w:pPr>
            <w:r w:rsidRPr="00250F2D">
              <w:rPr>
                <w:rFonts w:cs="Arial"/>
              </w:rPr>
              <w:t>A2</w:t>
            </w:r>
            <w:r>
              <w:rPr>
                <w:rFonts w:cs="Arial"/>
              </w:rPr>
              <w:t xml:space="preserve"> </w:t>
            </w:r>
            <w:r w:rsidRPr="00250F2D">
              <w:rPr>
                <w:rFonts w:cs="Arial"/>
              </w:rPr>
              <w:t>Dominion</w:t>
            </w:r>
          </w:p>
        </w:tc>
        <w:tc>
          <w:tcPr>
            <w:tcW w:w="1701" w:type="dxa"/>
            <w:tcBorders>
              <w:bottom w:val="single" w:sz="12" w:space="0" w:color="auto"/>
            </w:tcBorders>
          </w:tcPr>
          <w:p w14:paraId="7E651B58" w14:textId="77777777" w:rsidR="00C419FC" w:rsidRPr="00250F2D" w:rsidRDefault="00C419FC" w:rsidP="00E068C1">
            <w:pPr>
              <w:jc w:val="center"/>
              <w:rPr>
                <w:rFonts w:cs="Arial"/>
              </w:rPr>
            </w:pPr>
            <w:r w:rsidRPr="00250F2D">
              <w:rPr>
                <w:rFonts w:cs="Arial"/>
              </w:rPr>
              <w:t>5</w:t>
            </w:r>
          </w:p>
        </w:tc>
        <w:tc>
          <w:tcPr>
            <w:tcW w:w="1385" w:type="dxa"/>
            <w:tcBorders>
              <w:bottom w:val="single" w:sz="12" w:space="0" w:color="auto"/>
            </w:tcBorders>
          </w:tcPr>
          <w:p w14:paraId="07D6F8E1" w14:textId="77777777" w:rsidR="00C419FC" w:rsidRPr="00250F2D" w:rsidRDefault="00C419FC" w:rsidP="00E068C1">
            <w:pPr>
              <w:jc w:val="center"/>
              <w:rPr>
                <w:rFonts w:cs="Arial"/>
              </w:rPr>
            </w:pPr>
            <w:r w:rsidRPr="00250F2D">
              <w:rPr>
                <w:rFonts w:cs="Arial"/>
              </w:rPr>
              <w:t>4</w:t>
            </w:r>
          </w:p>
        </w:tc>
        <w:tc>
          <w:tcPr>
            <w:tcW w:w="1803" w:type="dxa"/>
            <w:tcBorders>
              <w:bottom w:val="single" w:sz="12" w:space="0" w:color="auto"/>
            </w:tcBorders>
          </w:tcPr>
          <w:p w14:paraId="5D169798" w14:textId="77777777" w:rsidR="00C419FC" w:rsidRPr="00250F2D" w:rsidRDefault="00C419FC" w:rsidP="00E068C1">
            <w:pPr>
              <w:jc w:val="center"/>
              <w:rPr>
                <w:rFonts w:cs="Arial"/>
              </w:rPr>
            </w:pPr>
            <w:r w:rsidRPr="00250F2D">
              <w:rPr>
                <w:rFonts w:cs="Arial"/>
              </w:rPr>
              <w:t>5</w:t>
            </w:r>
          </w:p>
        </w:tc>
      </w:tr>
      <w:tr w:rsidR="00C419FC" w:rsidRPr="00250F2D" w14:paraId="53449280" w14:textId="77777777" w:rsidTr="00E068C1">
        <w:trPr>
          <w:jc w:val="center"/>
        </w:trPr>
        <w:tc>
          <w:tcPr>
            <w:tcW w:w="2405" w:type="dxa"/>
            <w:tcBorders>
              <w:top w:val="single" w:sz="12" w:space="0" w:color="auto"/>
            </w:tcBorders>
            <w:shd w:val="clear" w:color="auto" w:fill="D9D9D9" w:themeFill="background1" w:themeFillShade="D9"/>
          </w:tcPr>
          <w:p w14:paraId="2F3AB052" w14:textId="77777777" w:rsidR="00C419FC" w:rsidRPr="00250F2D" w:rsidRDefault="00C419FC" w:rsidP="00E068C1">
            <w:pPr>
              <w:rPr>
                <w:rFonts w:cs="Arial"/>
                <w:b/>
                <w:bCs/>
              </w:rPr>
            </w:pPr>
            <w:r>
              <w:rPr>
                <w:rFonts w:cs="Arial"/>
                <w:b/>
                <w:bCs/>
              </w:rPr>
              <w:t xml:space="preserve"> Total</w:t>
            </w:r>
          </w:p>
        </w:tc>
        <w:tc>
          <w:tcPr>
            <w:tcW w:w="1701" w:type="dxa"/>
            <w:tcBorders>
              <w:top w:val="single" w:sz="12" w:space="0" w:color="auto"/>
            </w:tcBorders>
          </w:tcPr>
          <w:p w14:paraId="798AFAD3" w14:textId="77777777" w:rsidR="00C419FC" w:rsidRPr="00250F2D" w:rsidRDefault="00C419FC" w:rsidP="00E068C1">
            <w:pPr>
              <w:jc w:val="center"/>
              <w:rPr>
                <w:rFonts w:cs="Arial"/>
              </w:rPr>
            </w:pPr>
            <w:r>
              <w:rPr>
                <w:rFonts w:cs="Arial"/>
              </w:rPr>
              <w:t>40</w:t>
            </w:r>
          </w:p>
        </w:tc>
        <w:tc>
          <w:tcPr>
            <w:tcW w:w="1385" w:type="dxa"/>
            <w:tcBorders>
              <w:top w:val="single" w:sz="12" w:space="0" w:color="auto"/>
            </w:tcBorders>
          </w:tcPr>
          <w:p w14:paraId="63C563F7" w14:textId="77777777" w:rsidR="00C419FC" w:rsidRPr="00250F2D" w:rsidRDefault="00C419FC" w:rsidP="00E068C1">
            <w:pPr>
              <w:jc w:val="center"/>
              <w:rPr>
                <w:rFonts w:cs="Arial"/>
              </w:rPr>
            </w:pPr>
            <w:r>
              <w:rPr>
                <w:rFonts w:cs="Arial"/>
              </w:rPr>
              <w:t>26</w:t>
            </w:r>
          </w:p>
        </w:tc>
        <w:tc>
          <w:tcPr>
            <w:tcW w:w="1803" w:type="dxa"/>
            <w:tcBorders>
              <w:top w:val="single" w:sz="12" w:space="0" w:color="auto"/>
            </w:tcBorders>
          </w:tcPr>
          <w:p w14:paraId="2698E98D" w14:textId="77777777" w:rsidR="00C419FC" w:rsidRPr="00250F2D" w:rsidRDefault="00C419FC" w:rsidP="00E068C1">
            <w:pPr>
              <w:jc w:val="center"/>
              <w:rPr>
                <w:rFonts w:cs="Arial"/>
              </w:rPr>
            </w:pPr>
            <w:r>
              <w:rPr>
                <w:rFonts w:cs="Arial"/>
              </w:rPr>
              <w:t>35</w:t>
            </w:r>
          </w:p>
        </w:tc>
      </w:tr>
    </w:tbl>
    <w:p w14:paraId="14EB0A7C" w14:textId="77777777" w:rsidR="00C419FC" w:rsidRDefault="00C419FC" w:rsidP="00C419FC">
      <w:pPr>
        <w:pStyle w:val="ListParagraph"/>
        <w:numPr>
          <w:ilvl w:val="0"/>
          <w:numId w:val="0"/>
        </w:numPr>
        <w:ind w:left="1069"/>
      </w:pPr>
    </w:p>
    <w:p w14:paraId="66055D19" w14:textId="337134C1" w:rsidR="00CB334E" w:rsidRDefault="00CB334E" w:rsidP="004E68ED">
      <w:pPr>
        <w:pStyle w:val="ListParagraph"/>
        <w:numPr>
          <w:ilvl w:val="0"/>
          <w:numId w:val="35"/>
        </w:numPr>
        <w:ind w:left="357" w:hanging="357"/>
      </w:pPr>
      <w:r>
        <w:t xml:space="preserve">We have not been able to release 5 of the units from our own stock that we were due to under RSAP/NSAP due to the pressures outlined above. This has been acknowledged by DLUHC and these </w:t>
      </w:r>
      <w:r w:rsidR="00C419FC">
        <w:t xml:space="preserve">units and support can now </w:t>
      </w:r>
      <w:r>
        <w:t>be delivered under SHAP</w:t>
      </w:r>
      <w:r w:rsidR="00C419FC">
        <w:t xml:space="preserve"> (see below).</w:t>
      </w:r>
    </w:p>
    <w:p w14:paraId="555D6FD2" w14:textId="77777777" w:rsidR="00D2079E" w:rsidRDefault="00D2079E" w:rsidP="00863E69">
      <w:pPr>
        <w:pStyle w:val="ListParagraph"/>
        <w:numPr>
          <w:ilvl w:val="0"/>
          <w:numId w:val="0"/>
        </w:numPr>
        <w:ind w:left="1069"/>
      </w:pPr>
    </w:p>
    <w:p w14:paraId="6BFA45EA" w14:textId="77777777" w:rsidR="0091260F" w:rsidRPr="00FD681E" w:rsidRDefault="00D131CD" w:rsidP="004E68ED">
      <w:pPr>
        <w:pStyle w:val="ListParagraph"/>
        <w:numPr>
          <w:ilvl w:val="0"/>
          <w:numId w:val="0"/>
        </w:numPr>
        <w:rPr>
          <w:b/>
        </w:rPr>
      </w:pPr>
      <w:r w:rsidRPr="00FD681E">
        <w:rPr>
          <w:b/>
        </w:rPr>
        <w:t>SHAP bid</w:t>
      </w:r>
    </w:p>
    <w:p w14:paraId="7B5910C0" w14:textId="4ED5379E" w:rsidR="00D131CD" w:rsidRDefault="00D131CD" w:rsidP="00153A57">
      <w:pPr>
        <w:pStyle w:val="ListParagraph"/>
        <w:numPr>
          <w:ilvl w:val="0"/>
          <w:numId w:val="35"/>
        </w:numPr>
        <w:ind w:left="357" w:hanging="357"/>
      </w:pPr>
      <w:r>
        <w:t>In preparing for the SHAP bid</w:t>
      </w:r>
      <w:r w:rsidR="00D2079E">
        <w:t>,</w:t>
      </w:r>
      <w:r>
        <w:t xml:space="preserve"> 50 people were identified who are currently know</w:t>
      </w:r>
      <w:r w:rsidR="0099649A">
        <w:t>n to homelessness services and who are thought to require a Housing First solution. However</w:t>
      </w:r>
      <w:r w:rsidR="00D2079E">
        <w:t>,</w:t>
      </w:r>
      <w:r w:rsidR="0099649A">
        <w:t xml:space="preserve"> given the current </w:t>
      </w:r>
      <w:r w:rsidR="00DA7B3A">
        <w:t xml:space="preserve">low level of suitable </w:t>
      </w:r>
      <w:r w:rsidR="00D2079E">
        <w:t>one-bedroom</w:t>
      </w:r>
      <w:r w:rsidR="00DA7B3A">
        <w:t xml:space="preserve"> properties for sale in the City</w:t>
      </w:r>
      <w:r w:rsidR="0099649A">
        <w:t xml:space="preserve"> and the need to acquire properties for other purposes</w:t>
      </w:r>
      <w:r w:rsidR="00DA7B3A">
        <w:t xml:space="preserve"> to meet the priorities of the Housing, Homelessness and Rough Sleeping Strategy</w:t>
      </w:r>
      <w:r w:rsidR="0099649A">
        <w:t xml:space="preserve">, </w:t>
      </w:r>
      <w:r w:rsidR="00257BC9">
        <w:t xml:space="preserve">a total of </w:t>
      </w:r>
      <w:r w:rsidR="0099649A">
        <w:t xml:space="preserve">12 was considered to be at the upper end of forecasts for </w:t>
      </w:r>
      <w:r w:rsidR="00257BC9">
        <w:t>acquisitions</w:t>
      </w:r>
      <w:r w:rsidR="0099649A">
        <w:t xml:space="preserve"> by the end of the programme on 31 March 2025. Given the </w:t>
      </w:r>
      <w:r w:rsidR="00D2079E">
        <w:t xml:space="preserve">current </w:t>
      </w:r>
      <w:r w:rsidR="0099649A">
        <w:t>challenges of making our own stock available</w:t>
      </w:r>
      <w:r w:rsidR="006B6CE4">
        <w:t xml:space="preserve"> for </w:t>
      </w:r>
      <w:r w:rsidR="00D2079E">
        <w:t xml:space="preserve">Housing First and be supported by revenue funded support, </w:t>
      </w:r>
      <w:r w:rsidR="0099649A">
        <w:t xml:space="preserve">5 </w:t>
      </w:r>
      <w:r w:rsidR="00257BC9">
        <w:t>properties are</w:t>
      </w:r>
      <w:r w:rsidR="0099649A">
        <w:t xml:space="preserve"> considered to be realistic</w:t>
      </w:r>
      <w:r w:rsidR="00D2079E">
        <w:t xml:space="preserve"> to release from Council existing stock for this purpose</w:t>
      </w:r>
      <w:r w:rsidR="0099649A">
        <w:t>, given the challenges outlined above.</w:t>
      </w:r>
    </w:p>
    <w:p w14:paraId="22E48193" w14:textId="093D4891" w:rsidR="00B967D6" w:rsidRDefault="6DAB02A6" w:rsidP="00153A57">
      <w:pPr>
        <w:pStyle w:val="ListParagraph"/>
        <w:numPr>
          <w:ilvl w:val="0"/>
          <w:numId w:val="35"/>
        </w:numPr>
        <w:ind w:left="357" w:hanging="357"/>
      </w:pPr>
      <w:r>
        <w:t>The 12 units purchased as part of the SHAP bid wi</w:t>
      </w:r>
      <w:r w:rsidR="00D2079E">
        <w:t>ll</w:t>
      </w:r>
      <w:r>
        <w:t xml:space="preserve"> be bought by the Council’s Housing Revenue Account, and will become Council social housing stock. Tenants will be issued secure tenancies (following a standard introductory period) and will be charged a social rent, in line with other council tenants. </w:t>
      </w:r>
    </w:p>
    <w:p w14:paraId="334BA691" w14:textId="670591DB" w:rsidR="0091260F" w:rsidRDefault="6DAB02A6" w:rsidP="00153A57">
      <w:pPr>
        <w:pStyle w:val="ListParagraph"/>
        <w:numPr>
          <w:ilvl w:val="0"/>
          <w:numId w:val="35"/>
        </w:numPr>
        <w:ind w:left="357" w:hanging="357"/>
      </w:pPr>
      <w:r>
        <w:t xml:space="preserve">The additional acquisitions into the HRA stock will likely lead to refurbishment work needing to be completed at some of the new units in order to bring them up to </w:t>
      </w:r>
      <w:proofErr w:type="gramStart"/>
      <w:r>
        <w:t>Decent Homes</w:t>
      </w:r>
      <w:proofErr w:type="gramEnd"/>
      <w:r>
        <w:t xml:space="preserve"> standards, as well as an EPC C rating. It will also require additional conveyancing work to be undertaken by Legal Services. Funding for all this work has been incorporated into the bid. This is at a level that has proven sufficient for other acquisitions. The Affordable Supply Team will take steps to ensure all properties purchased are of a standard that would not require levels of investment beyond the budgeted envelope for the programme, although this further reduces the number of suitable units for purchase.</w:t>
      </w:r>
    </w:p>
    <w:p w14:paraId="31D956AF" w14:textId="0964BE89" w:rsidR="004A5440" w:rsidRDefault="004A5440" w:rsidP="00153A57">
      <w:pPr>
        <w:pStyle w:val="ListParagraph"/>
        <w:numPr>
          <w:ilvl w:val="0"/>
          <w:numId w:val="35"/>
        </w:numPr>
        <w:ind w:left="357" w:hanging="357"/>
      </w:pPr>
      <w:r>
        <w:t xml:space="preserve">Persons moving into the purchased Housing First Units will be supported by dedicated Housing First support workers. The model has a low ‘client-support worker’ ratio, where one worker supports a maximum of 6 or 7 persons. Engagement and relationship building starts before a person moves into the </w:t>
      </w:r>
      <w:r>
        <w:lastRenderedPageBreak/>
        <w:t>accommodation and continues when the person moves into the accommodation.</w:t>
      </w:r>
      <w:r w:rsidR="00C419FC">
        <w:t xml:space="preserve"> </w:t>
      </w:r>
      <w:r>
        <w:t xml:space="preserve">We have been allocated a total of £600,000 in revenue funding over a period of 4 financial years to staff the project. </w:t>
      </w:r>
      <w:r w:rsidR="00C419FC">
        <w:t xml:space="preserve">The procurement of the support provision using this revenue funding will be arranged in due course. </w:t>
      </w:r>
      <w:r>
        <w:t>The funding profile is as follows and equates to a phased roll-out of the project based on the acquisition process:</w:t>
      </w:r>
    </w:p>
    <w:p w14:paraId="79DF4F89" w14:textId="77777777" w:rsidR="004A5440" w:rsidRDefault="004A5440" w:rsidP="004A5440"/>
    <w:tbl>
      <w:tblPr>
        <w:tblStyle w:val="TableGrid"/>
        <w:tblW w:w="0" w:type="auto"/>
        <w:tblInd w:w="1069" w:type="dxa"/>
        <w:tblLook w:val="04A0" w:firstRow="1" w:lastRow="0" w:firstColumn="1" w:lastColumn="0" w:noHBand="0" w:noVBand="1"/>
      </w:tblPr>
      <w:tblGrid>
        <w:gridCol w:w="1903"/>
        <w:gridCol w:w="1579"/>
        <w:gridCol w:w="1579"/>
        <w:gridCol w:w="1579"/>
        <w:gridCol w:w="1579"/>
      </w:tblGrid>
      <w:tr w:rsidR="004A5440" w14:paraId="4A770EFA" w14:textId="77777777" w:rsidTr="00E068C1">
        <w:tc>
          <w:tcPr>
            <w:tcW w:w="1903" w:type="dxa"/>
          </w:tcPr>
          <w:p w14:paraId="06FB446B" w14:textId="77777777" w:rsidR="004A5440" w:rsidRDefault="004A5440" w:rsidP="00E068C1"/>
        </w:tc>
        <w:tc>
          <w:tcPr>
            <w:tcW w:w="1579" w:type="dxa"/>
          </w:tcPr>
          <w:p w14:paraId="707C63E8" w14:textId="77777777" w:rsidR="004A5440" w:rsidRDefault="004A5440" w:rsidP="00E068C1">
            <w:r>
              <w:t>2023/24</w:t>
            </w:r>
          </w:p>
        </w:tc>
        <w:tc>
          <w:tcPr>
            <w:tcW w:w="1579" w:type="dxa"/>
          </w:tcPr>
          <w:p w14:paraId="6F11AD78" w14:textId="77777777" w:rsidR="004A5440" w:rsidRDefault="004A5440" w:rsidP="00E068C1">
            <w:r>
              <w:t>2024/25</w:t>
            </w:r>
          </w:p>
        </w:tc>
        <w:tc>
          <w:tcPr>
            <w:tcW w:w="1579" w:type="dxa"/>
          </w:tcPr>
          <w:p w14:paraId="1438CDE8" w14:textId="77777777" w:rsidR="004A5440" w:rsidRDefault="004A5440" w:rsidP="00E068C1">
            <w:r>
              <w:t>2025/26</w:t>
            </w:r>
          </w:p>
        </w:tc>
        <w:tc>
          <w:tcPr>
            <w:tcW w:w="1579" w:type="dxa"/>
          </w:tcPr>
          <w:p w14:paraId="623FF3C1" w14:textId="77777777" w:rsidR="004A5440" w:rsidRDefault="004A5440" w:rsidP="00E068C1">
            <w:r>
              <w:t>2026/27</w:t>
            </w:r>
          </w:p>
        </w:tc>
      </w:tr>
      <w:tr w:rsidR="004A5440" w14:paraId="51EDD051" w14:textId="77777777" w:rsidTr="00E068C1">
        <w:tc>
          <w:tcPr>
            <w:tcW w:w="1903" w:type="dxa"/>
          </w:tcPr>
          <w:p w14:paraId="54865AD2" w14:textId="77777777" w:rsidR="004A5440" w:rsidRDefault="004A5440" w:rsidP="00E068C1">
            <w:r>
              <w:t>Revenue</w:t>
            </w:r>
          </w:p>
        </w:tc>
        <w:tc>
          <w:tcPr>
            <w:tcW w:w="1579" w:type="dxa"/>
          </w:tcPr>
          <w:p w14:paraId="41570780" w14:textId="77777777" w:rsidR="004A5440" w:rsidRDefault="004A5440" w:rsidP="00E068C1">
            <w:r>
              <w:t>£66,000</w:t>
            </w:r>
          </w:p>
        </w:tc>
        <w:tc>
          <w:tcPr>
            <w:tcW w:w="1579" w:type="dxa"/>
          </w:tcPr>
          <w:p w14:paraId="42C791D7" w14:textId="77777777" w:rsidR="004A5440" w:rsidRDefault="004A5440" w:rsidP="00E068C1">
            <w:r>
              <w:t>£134,000</w:t>
            </w:r>
          </w:p>
        </w:tc>
        <w:tc>
          <w:tcPr>
            <w:tcW w:w="1579" w:type="dxa"/>
          </w:tcPr>
          <w:p w14:paraId="7D32C4DC" w14:textId="77777777" w:rsidR="004A5440" w:rsidRDefault="004A5440" w:rsidP="00E068C1">
            <w:r>
              <w:t>£200,000</w:t>
            </w:r>
          </w:p>
        </w:tc>
        <w:tc>
          <w:tcPr>
            <w:tcW w:w="1579" w:type="dxa"/>
          </w:tcPr>
          <w:p w14:paraId="1FB7315F" w14:textId="77777777" w:rsidR="004A5440" w:rsidRDefault="004A5440" w:rsidP="00E068C1">
            <w:r>
              <w:t>£200,000</w:t>
            </w:r>
          </w:p>
        </w:tc>
      </w:tr>
      <w:tr w:rsidR="004A5440" w14:paraId="2BF2B4CE" w14:textId="77777777" w:rsidTr="00E068C1">
        <w:tc>
          <w:tcPr>
            <w:tcW w:w="1903" w:type="dxa"/>
          </w:tcPr>
          <w:p w14:paraId="2B5DA638" w14:textId="77777777" w:rsidR="004A5440" w:rsidRDefault="004A5440" w:rsidP="00E068C1">
            <w:r>
              <w:t>Units Occupied</w:t>
            </w:r>
          </w:p>
        </w:tc>
        <w:tc>
          <w:tcPr>
            <w:tcW w:w="1579" w:type="dxa"/>
          </w:tcPr>
          <w:p w14:paraId="42BE704F" w14:textId="77777777" w:rsidR="004A5440" w:rsidRDefault="004A5440" w:rsidP="00E068C1">
            <w:r>
              <w:t>6</w:t>
            </w:r>
          </w:p>
        </w:tc>
        <w:tc>
          <w:tcPr>
            <w:tcW w:w="1579" w:type="dxa"/>
          </w:tcPr>
          <w:p w14:paraId="1EE768DC" w14:textId="77777777" w:rsidR="004A5440" w:rsidRDefault="004A5440" w:rsidP="00E068C1">
            <w:r>
              <w:t>12</w:t>
            </w:r>
          </w:p>
        </w:tc>
        <w:tc>
          <w:tcPr>
            <w:tcW w:w="1579" w:type="dxa"/>
          </w:tcPr>
          <w:p w14:paraId="2EAE7173" w14:textId="77777777" w:rsidR="004A5440" w:rsidRDefault="004A5440" w:rsidP="00E068C1">
            <w:r>
              <w:t>17</w:t>
            </w:r>
          </w:p>
        </w:tc>
        <w:tc>
          <w:tcPr>
            <w:tcW w:w="1579" w:type="dxa"/>
          </w:tcPr>
          <w:p w14:paraId="75432516" w14:textId="77777777" w:rsidR="004A5440" w:rsidRDefault="004A5440" w:rsidP="00E068C1">
            <w:r>
              <w:t>17</w:t>
            </w:r>
          </w:p>
        </w:tc>
      </w:tr>
    </w:tbl>
    <w:p w14:paraId="25A58387" w14:textId="77777777" w:rsidR="004A5440" w:rsidRDefault="004A5440" w:rsidP="004A5440">
      <w:pPr>
        <w:pStyle w:val="ListParagraph"/>
        <w:numPr>
          <w:ilvl w:val="0"/>
          <w:numId w:val="0"/>
        </w:numPr>
        <w:ind w:left="1069"/>
      </w:pPr>
    </w:p>
    <w:p w14:paraId="7841CB0F" w14:textId="77777777" w:rsidR="0040736F" w:rsidRPr="00FD681E" w:rsidRDefault="002329CF" w:rsidP="00153A57">
      <w:pPr>
        <w:pStyle w:val="ListParagraph"/>
        <w:numPr>
          <w:ilvl w:val="0"/>
          <w:numId w:val="0"/>
        </w:numPr>
        <w:rPr>
          <w:b/>
        </w:rPr>
      </w:pPr>
      <w:r w:rsidRPr="00FD681E">
        <w:rPr>
          <w:b/>
        </w:rPr>
        <w:t>Financial implications</w:t>
      </w:r>
    </w:p>
    <w:p w14:paraId="0F17FC1B" w14:textId="08CB6DC3" w:rsidR="0099649A" w:rsidRDefault="0099649A" w:rsidP="00153A57">
      <w:pPr>
        <w:pStyle w:val="ListParagraph"/>
        <w:numPr>
          <w:ilvl w:val="0"/>
          <w:numId w:val="35"/>
        </w:numPr>
        <w:ind w:left="357" w:hanging="357"/>
      </w:pPr>
      <w:r w:rsidRPr="0099649A">
        <w:t xml:space="preserve">The acquisition programme will be targeting </w:t>
      </w:r>
      <w:r w:rsidR="009F08B8" w:rsidRPr="0099649A">
        <w:t>one-bedroom</w:t>
      </w:r>
      <w:r w:rsidRPr="0099649A">
        <w:t xml:space="preserve"> properties with a target price of £200,000, to be purchased over two years. The total cost of acquisition is expected to be £2,888,000 (allowing for ancillary costs, refurbishment and contingency), with £100k per property to be </w:t>
      </w:r>
      <w:r>
        <w:t>provided fr</w:t>
      </w:r>
      <w:r w:rsidR="00341C02">
        <w:t>o</w:t>
      </w:r>
      <w:r>
        <w:t>m the SHAP programme</w:t>
      </w:r>
      <w:r w:rsidRPr="0099649A">
        <w:t xml:space="preserve"> to support the purchase costs. This results in a net borrowing cost to the HRA of £1,688,000, or £844,000 per year in 2023/24 and 2024/25.</w:t>
      </w:r>
    </w:p>
    <w:p w14:paraId="262F62D0" w14:textId="5F0B4C71" w:rsidR="003536D7" w:rsidRDefault="6DAB02A6" w:rsidP="00153A57">
      <w:pPr>
        <w:pStyle w:val="ListParagraph"/>
        <w:numPr>
          <w:ilvl w:val="0"/>
          <w:numId w:val="35"/>
        </w:numPr>
        <w:ind w:left="357" w:hanging="357"/>
      </w:pPr>
      <w:r>
        <w:t xml:space="preserve">Modelling undertaken in preparation for the SHAP bid showed that the scheme </w:t>
      </w:r>
      <w:r w:rsidR="00E3626E">
        <w:t xml:space="preserve">on its own </w:t>
      </w:r>
      <w:r>
        <w:t xml:space="preserve">achieved an Interest Cover Ratio (ICR) rating of 1.15 </w:t>
      </w:r>
      <w:r w:rsidR="00E3626E">
        <w:t xml:space="preserve">which means it </w:t>
      </w:r>
      <w:r w:rsidR="002639E6">
        <w:t xml:space="preserve">is able to </w:t>
      </w:r>
      <w:r w:rsidR="00E3626E">
        <w:t>cover the expected interest cost of borrowing</w:t>
      </w:r>
      <w:r w:rsidR="002639E6">
        <w:t xml:space="preserve"> using the rental income generated with a margin of 15%</w:t>
      </w:r>
      <w:r w:rsidR="00E3626E">
        <w:t>.</w:t>
      </w:r>
      <w:r>
        <w:t xml:space="preserve"> The overall impact on the </w:t>
      </w:r>
      <w:r w:rsidR="00984A63">
        <w:t xml:space="preserve">overall </w:t>
      </w:r>
      <w:r>
        <w:t>HRA Interest Cover Ratio</w:t>
      </w:r>
      <w:r w:rsidR="002639E6">
        <w:t xml:space="preserve"> by including this scheme</w:t>
      </w:r>
      <w:r>
        <w:t xml:space="preserve"> is negligible and for 2023/24 remains at the interim required minimum of 1.10. The full breakdown of the</w:t>
      </w:r>
      <w:r w:rsidR="002639E6">
        <w:t xml:space="preserve"> </w:t>
      </w:r>
      <w:r>
        <w:t>ICR</w:t>
      </w:r>
      <w:r w:rsidR="002639E6">
        <w:t xml:space="preserve"> at a scheme level</w:t>
      </w:r>
      <w:r>
        <w:t xml:space="preserve"> is provided in Table 1 below. </w:t>
      </w:r>
    </w:p>
    <w:p w14:paraId="02EE9896" w14:textId="77777777" w:rsidR="003536D7" w:rsidRDefault="003536D7" w:rsidP="000D72B4"/>
    <w:p w14:paraId="16606FDD" w14:textId="77777777" w:rsidR="003536D7" w:rsidRDefault="003536D7" w:rsidP="00FD681E">
      <w:pPr>
        <w:pStyle w:val="ListParagraph"/>
        <w:numPr>
          <w:ilvl w:val="0"/>
          <w:numId w:val="0"/>
        </w:numPr>
        <w:ind w:left="720"/>
      </w:pPr>
      <w:r>
        <w:t>Table 1. ICR Calculation</w:t>
      </w:r>
    </w:p>
    <w:p w14:paraId="0CB01BB3" w14:textId="77777777" w:rsidR="003536D7" w:rsidRDefault="003536D7" w:rsidP="00FD681E">
      <w:pPr>
        <w:pStyle w:val="ListParagraph"/>
        <w:numPr>
          <w:ilvl w:val="0"/>
          <w:numId w:val="0"/>
        </w:numPr>
        <w:ind w:left="1069"/>
      </w:pPr>
      <w:r w:rsidRPr="003536D7">
        <w:rPr>
          <w:noProof/>
        </w:rPr>
        <w:drawing>
          <wp:inline distT="0" distB="0" distL="0" distR="0" wp14:anchorId="71640800" wp14:editId="2593EB47">
            <wp:extent cx="2279650" cy="1295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9650" cy="1295400"/>
                    </a:xfrm>
                    <a:prstGeom prst="rect">
                      <a:avLst/>
                    </a:prstGeom>
                    <a:noFill/>
                    <a:ln>
                      <a:noFill/>
                    </a:ln>
                  </pic:spPr>
                </pic:pic>
              </a:graphicData>
            </a:graphic>
          </wp:inline>
        </w:drawing>
      </w:r>
    </w:p>
    <w:p w14:paraId="5B236529" w14:textId="1D234FA7" w:rsidR="006801E6" w:rsidRDefault="006801E6" w:rsidP="004A5440">
      <w:pPr>
        <w:ind w:left="1069"/>
      </w:pPr>
    </w:p>
    <w:p w14:paraId="77ECCC81" w14:textId="77777777" w:rsidR="003536D7" w:rsidRDefault="00DA614B" w:rsidP="00153A57">
      <w:pPr>
        <w:pStyle w:val="Heading1"/>
      </w:pPr>
      <w:r w:rsidRPr="001356F1">
        <w:t>Legal issues</w:t>
      </w:r>
    </w:p>
    <w:p w14:paraId="526E5F4F" w14:textId="7BE9DCA8" w:rsidR="003536D7" w:rsidRDefault="003536D7" w:rsidP="00153A57">
      <w:pPr>
        <w:pStyle w:val="NoSpacing"/>
        <w:numPr>
          <w:ilvl w:val="0"/>
          <w:numId w:val="35"/>
        </w:numPr>
        <w:ind w:left="357" w:hanging="357"/>
      </w:pPr>
      <w:r w:rsidRPr="00DE7AC0">
        <w:rPr>
          <w:rFonts w:cs="Arial"/>
          <w:bCs/>
        </w:rPr>
        <w:t>The procurement, commissioning and award of contracts for th</w:t>
      </w:r>
      <w:r>
        <w:rPr>
          <w:rFonts w:cs="Arial"/>
          <w:bCs/>
        </w:rPr>
        <w:t>is</w:t>
      </w:r>
      <w:r w:rsidRPr="00DE7AC0">
        <w:rPr>
          <w:rFonts w:cs="Arial"/>
          <w:bCs/>
        </w:rPr>
        <w:t xml:space="preserve"> service </w:t>
      </w:r>
      <w:r>
        <w:rPr>
          <w:rFonts w:cs="Arial"/>
          <w:bCs/>
        </w:rPr>
        <w:t>will</w:t>
      </w:r>
      <w:r w:rsidRPr="00DE7AC0">
        <w:rPr>
          <w:rFonts w:cs="Arial"/>
          <w:bCs/>
        </w:rPr>
        <w:t xml:space="preserve"> be undertaken in compliance with the </w:t>
      </w:r>
      <w:r w:rsidR="00DD4479">
        <w:rPr>
          <w:rFonts w:cs="Arial"/>
          <w:bCs/>
        </w:rPr>
        <w:t>C</w:t>
      </w:r>
      <w:r w:rsidRPr="00DE7AC0">
        <w:rPr>
          <w:rFonts w:cs="Arial"/>
          <w:bCs/>
        </w:rPr>
        <w:t>ouncil’s contract rules contained in part 19 of its Constitution.</w:t>
      </w:r>
    </w:p>
    <w:p w14:paraId="6F4B29A5" w14:textId="77777777" w:rsidR="002329CF" w:rsidRPr="001356F1" w:rsidRDefault="002329CF" w:rsidP="00153A57">
      <w:pPr>
        <w:pStyle w:val="Heading1"/>
      </w:pPr>
      <w:r w:rsidRPr="001356F1">
        <w:t>Level of risk</w:t>
      </w:r>
    </w:p>
    <w:p w14:paraId="318997E0" w14:textId="77777777" w:rsidR="003536D7" w:rsidRDefault="003536D7" w:rsidP="00153A57">
      <w:pPr>
        <w:pStyle w:val="Heading1"/>
        <w:numPr>
          <w:ilvl w:val="0"/>
          <w:numId w:val="35"/>
        </w:numPr>
        <w:ind w:left="357" w:hanging="357"/>
        <w:rPr>
          <w:b w:val="0"/>
        </w:rPr>
      </w:pPr>
      <w:r w:rsidRPr="003536D7">
        <w:rPr>
          <w:b w:val="0"/>
        </w:rPr>
        <w:t>The Risk Register is attached as Appendix 2.</w:t>
      </w:r>
    </w:p>
    <w:p w14:paraId="3BA02F42" w14:textId="77777777" w:rsidR="00A772E0" w:rsidRDefault="00A772E0" w:rsidP="00153A57">
      <w:pPr>
        <w:pStyle w:val="Heading1"/>
      </w:pPr>
    </w:p>
    <w:p w14:paraId="06944CD0" w14:textId="77777777" w:rsidR="002329CF" w:rsidRPr="001356F1" w:rsidRDefault="002329CF" w:rsidP="00153A57">
      <w:pPr>
        <w:pStyle w:val="Heading1"/>
      </w:pPr>
      <w:r w:rsidRPr="001356F1">
        <w:lastRenderedPageBreak/>
        <w:t xml:space="preserve">Equalities impact </w:t>
      </w:r>
    </w:p>
    <w:p w14:paraId="02537247" w14:textId="77777777" w:rsidR="00FB3B71" w:rsidRPr="00FB3B71" w:rsidRDefault="003536D7" w:rsidP="00153A57">
      <w:pPr>
        <w:pStyle w:val="bParagraphtext"/>
        <w:numPr>
          <w:ilvl w:val="0"/>
          <w:numId w:val="35"/>
        </w:numPr>
        <w:ind w:left="357" w:hanging="357"/>
        <w:rPr>
          <w:b/>
        </w:rPr>
      </w:pPr>
      <w:r>
        <w:t xml:space="preserve">Housing First is an intervention targeted at some of the most vulnerable members of society. </w:t>
      </w:r>
      <w:r w:rsidR="006801E6">
        <w:t xml:space="preserve">Housing first is contained in the Councils Housing, Homelessness and Rough Sleeping Strategy which had a full equality impact assessment carried out on it before its adoption by Council. </w:t>
      </w:r>
      <w:r w:rsidRPr="003536D7">
        <w:t>The service will be subject to monitoring of its performance and impact on individuals including matters of equality and diversity.</w:t>
      </w:r>
    </w:p>
    <w:p w14:paraId="5653AF6F" w14:textId="77777777" w:rsidR="00FB3B71" w:rsidRDefault="00950824" w:rsidP="002838E7">
      <w:pPr>
        <w:pStyle w:val="bParagraphtext"/>
        <w:numPr>
          <w:ilvl w:val="0"/>
          <w:numId w:val="0"/>
        </w:numPr>
      </w:pPr>
      <w:r>
        <w:rPr>
          <w:b/>
        </w:rPr>
        <w:t>Carbon and Environmental Considerations</w:t>
      </w:r>
      <w:r w:rsidR="00FB3B71" w:rsidRPr="00FB3B71">
        <w:rPr>
          <w:b/>
        </w:rPr>
        <w:t xml:space="preserve"> </w:t>
      </w:r>
    </w:p>
    <w:p w14:paraId="637E2485" w14:textId="77777777" w:rsidR="00FB3B71" w:rsidRPr="003536D7" w:rsidRDefault="003536D7" w:rsidP="002838E7">
      <w:pPr>
        <w:pStyle w:val="NoSpacing"/>
        <w:numPr>
          <w:ilvl w:val="0"/>
          <w:numId w:val="35"/>
        </w:numPr>
        <w:ind w:left="357" w:hanging="357"/>
      </w:pPr>
      <w:r w:rsidRPr="003536D7">
        <w:t>As outlined above properties purchased through this sc</w:t>
      </w:r>
      <w:bookmarkStart w:id="0" w:name="_GoBack"/>
      <w:bookmarkEnd w:id="0"/>
      <w:r w:rsidRPr="003536D7">
        <w:t>heme will be brought up to an</w:t>
      </w:r>
      <w:r w:rsidR="00FD681E">
        <w:t xml:space="preserve"> </w:t>
      </w:r>
      <w:r w:rsidRPr="003536D7">
        <w:t>EPC rating of C, if they</w:t>
      </w:r>
      <w:r>
        <w:t xml:space="preserve"> do not already meet this standard.</w:t>
      </w:r>
    </w:p>
    <w:p w14:paraId="25809DB8"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29585B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22F6858"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FC2E343" w14:textId="77777777" w:rsidR="00E87F7A" w:rsidRPr="001356F1" w:rsidRDefault="003536D7" w:rsidP="00A46E98">
            <w:r>
              <w:t>Ossi Mosley</w:t>
            </w:r>
          </w:p>
        </w:tc>
      </w:tr>
      <w:tr w:rsidR="00DF093E" w:rsidRPr="001356F1" w14:paraId="50D93081"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D387C00"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AF9EBD6" w14:textId="50F61DE1" w:rsidR="00E87F7A" w:rsidRPr="001356F1" w:rsidRDefault="003536D7" w:rsidP="00A46E98">
            <w:r>
              <w:t xml:space="preserve">Rough Sleeping </w:t>
            </w:r>
            <w:r w:rsidR="00B312DC">
              <w:t xml:space="preserve">and Single Homelessness </w:t>
            </w:r>
            <w:r>
              <w:t>Manager</w:t>
            </w:r>
          </w:p>
        </w:tc>
      </w:tr>
      <w:tr w:rsidR="00DF093E" w:rsidRPr="001356F1" w14:paraId="25C211F3" w14:textId="77777777" w:rsidTr="00A46E98">
        <w:trPr>
          <w:cantSplit/>
          <w:trHeight w:val="396"/>
        </w:trPr>
        <w:tc>
          <w:tcPr>
            <w:tcW w:w="3969" w:type="dxa"/>
            <w:tcBorders>
              <w:top w:val="nil"/>
              <w:left w:val="single" w:sz="8" w:space="0" w:color="000000"/>
              <w:bottom w:val="nil"/>
              <w:right w:val="nil"/>
            </w:tcBorders>
            <w:shd w:val="clear" w:color="auto" w:fill="auto"/>
          </w:tcPr>
          <w:p w14:paraId="3726B4CF"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2F32AE9" w14:textId="77777777" w:rsidR="00E87F7A" w:rsidRPr="001356F1" w:rsidRDefault="003536D7" w:rsidP="00A46E98">
            <w:r>
              <w:t>Housing Needs</w:t>
            </w:r>
          </w:p>
        </w:tc>
      </w:tr>
      <w:tr w:rsidR="00DF093E" w:rsidRPr="001356F1" w14:paraId="48D82B0C" w14:textId="77777777" w:rsidTr="00A46E98">
        <w:trPr>
          <w:cantSplit/>
          <w:trHeight w:val="396"/>
        </w:trPr>
        <w:tc>
          <w:tcPr>
            <w:tcW w:w="3969" w:type="dxa"/>
            <w:tcBorders>
              <w:top w:val="nil"/>
              <w:left w:val="single" w:sz="8" w:space="0" w:color="000000"/>
              <w:bottom w:val="nil"/>
              <w:right w:val="nil"/>
            </w:tcBorders>
            <w:shd w:val="clear" w:color="auto" w:fill="auto"/>
          </w:tcPr>
          <w:p w14:paraId="213760E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48E7981" w14:textId="0B41D311" w:rsidR="00E87F7A" w:rsidRPr="001356F1" w:rsidRDefault="00E87F7A" w:rsidP="00A772E0">
            <w:r w:rsidRPr="001356F1">
              <w:t xml:space="preserve">01865 </w:t>
            </w:r>
            <w:r w:rsidR="00C419FC">
              <w:t>252173</w:t>
            </w:r>
            <w:r w:rsidRPr="001356F1">
              <w:t xml:space="preserve">  </w:t>
            </w:r>
          </w:p>
        </w:tc>
      </w:tr>
      <w:tr w:rsidR="005570B5" w:rsidRPr="001356F1" w14:paraId="3EDD41F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7F83564"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825027C" w14:textId="77777777" w:rsidR="00E87F7A" w:rsidRPr="001356F1" w:rsidRDefault="003536D7" w:rsidP="00A46E98">
            <w:pPr>
              <w:rPr>
                <w:rStyle w:val="Hyperlink"/>
                <w:color w:val="000000"/>
              </w:rPr>
            </w:pPr>
            <w:r>
              <w:rPr>
                <w:rStyle w:val="Hyperlink"/>
                <w:color w:val="000000"/>
              </w:rPr>
              <w:t>omosley@oxford.gov.uk</w:t>
            </w:r>
          </w:p>
        </w:tc>
      </w:tr>
    </w:tbl>
    <w:p w14:paraId="493952F6"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5CF327BE"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37308F38"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171580E0" w14:textId="77777777" w:rsidR="00CE4C87" w:rsidRDefault="00CE4C87" w:rsidP="0093067A"/>
    <w:p w14:paraId="2FC69C39" w14:textId="77777777" w:rsidR="004456DD" w:rsidRPr="009E51FC" w:rsidRDefault="004456DD" w:rsidP="0093067A"/>
    <w:sectPr w:rsidR="004456DD" w:rsidRPr="009E51FC" w:rsidSect="002B6836">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7B7D6" w14:textId="77777777" w:rsidR="00FB3B71" w:rsidRDefault="00FB3B71" w:rsidP="004A6D2F">
      <w:r>
        <w:separator/>
      </w:r>
    </w:p>
  </w:endnote>
  <w:endnote w:type="continuationSeparator" w:id="0">
    <w:p w14:paraId="42A4CF46" w14:textId="77777777" w:rsidR="00FB3B71" w:rsidRDefault="00FB3B7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59B9B" w14:textId="77777777" w:rsidR="00364FAD" w:rsidRDefault="00364FAD" w:rsidP="004A6D2F">
    <w:pPr>
      <w:pStyle w:val="Footer"/>
    </w:pPr>
    <w:r>
      <w:t>Do not use a footer or page numbers.</w:t>
    </w:r>
  </w:p>
  <w:p w14:paraId="5E2F7341" w14:textId="77777777" w:rsidR="00364FAD" w:rsidRDefault="00364FAD" w:rsidP="004A6D2F">
    <w:pPr>
      <w:pStyle w:val="Footer"/>
    </w:pPr>
  </w:p>
  <w:p w14:paraId="5D657EAC"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3B7E9" w14:textId="327A7495" w:rsidR="00A701B5" w:rsidRDefault="00A701B5"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1F13D" w14:textId="77777777" w:rsidR="00FB3B71" w:rsidRDefault="00FB3B71" w:rsidP="004A6D2F">
      <w:r>
        <w:separator/>
      </w:r>
    </w:p>
  </w:footnote>
  <w:footnote w:type="continuationSeparator" w:id="0">
    <w:p w14:paraId="7B3F2317" w14:textId="77777777" w:rsidR="00FB3B71" w:rsidRDefault="00FB3B7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936EF" w14:textId="77777777" w:rsidR="00D5547E" w:rsidRDefault="00C05260" w:rsidP="00D5547E">
    <w:pPr>
      <w:pStyle w:val="Header"/>
      <w:jc w:val="right"/>
    </w:pPr>
    <w:r>
      <w:rPr>
        <w:noProof/>
      </w:rPr>
      <w:drawing>
        <wp:inline distT="0" distB="0" distL="0" distR="0" wp14:anchorId="0E1CB72F" wp14:editId="7EAC4D8D">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1D56B8"/>
    <w:multiLevelType w:val="hybridMultilevel"/>
    <w:tmpl w:val="1EA4FE2E"/>
    <w:lvl w:ilvl="0" w:tplc="0809000F">
      <w:start w:val="1"/>
      <w:numFmt w:val="decimal"/>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106091"/>
    <w:multiLevelType w:val="hybridMultilevel"/>
    <w:tmpl w:val="B9BAA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E56BEE"/>
    <w:multiLevelType w:val="hybridMultilevel"/>
    <w:tmpl w:val="20500134"/>
    <w:lvl w:ilvl="0" w:tplc="6694DBAC">
      <w:start w:val="1"/>
      <w:numFmt w:val="decimal"/>
      <w:lvlText w:val="%1."/>
      <w:lvlJc w:val="left"/>
      <w:pPr>
        <w:ind w:left="1069"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365C6"/>
    <w:multiLevelType w:val="multilevel"/>
    <w:tmpl w:val="E67CE66C"/>
    <w:numStyleLink w:val="StyleNumberedLeft0cmHanging075cm"/>
  </w:abstractNum>
  <w:num w:numId="1">
    <w:abstractNumId w:val="28"/>
  </w:num>
  <w:num w:numId="2">
    <w:abstractNumId w:val="33"/>
  </w:num>
  <w:num w:numId="3">
    <w:abstractNumId w:val="25"/>
  </w:num>
  <w:num w:numId="4">
    <w:abstractNumId w:val="19"/>
  </w:num>
  <w:num w:numId="5">
    <w:abstractNumId w:val="30"/>
  </w:num>
  <w:num w:numId="6">
    <w:abstractNumId w:val="34"/>
  </w:num>
  <w:num w:numId="7">
    <w:abstractNumId w:val="24"/>
  </w:num>
  <w:num w:numId="8">
    <w:abstractNumId w:val="22"/>
  </w:num>
  <w:num w:numId="9">
    <w:abstractNumId w:val="13"/>
  </w:num>
  <w:num w:numId="10">
    <w:abstractNumId w:val="16"/>
  </w:num>
  <w:num w:numId="11">
    <w:abstractNumId w:val="27"/>
  </w:num>
  <w:num w:numId="12">
    <w:abstractNumId w:val="26"/>
  </w:num>
  <w:num w:numId="13">
    <w:abstractNumId w:val="10"/>
  </w:num>
  <w:num w:numId="14">
    <w:abstractNumId w:val="35"/>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3"/>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0"/>
  </w:num>
  <w:num w:numId="35">
    <w:abstractNumId w:val="21"/>
  </w:num>
  <w:num w:numId="3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1"/>
    <w:rsid w:val="000043E6"/>
    <w:rsid w:val="000117D4"/>
    <w:rsid w:val="000314D7"/>
    <w:rsid w:val="00034054"/>
    <w:rsid w:val="00045F8B"/>
    <w:rsid w:val="00046D2B"/>
    <w:rsid w:val="00056263"/>
    <w:rsid w:val="00064D8A"/>
    <w:rsid w:val="00064F82"/>
    <w:rsid w:val="00066510"/>
    <w:rsid w:val="00077523"/>
    <w:rsid w:val="000833C8"/>
    <w:rsid w:val="000A38FB"/>
    <w:rsid w:val="000B1DFC"/>
    <w:rsid w:val="000B49CB"/>
    <w:rsid w:val="000C089F"/>
    <w:rsid w:val="000C3928"/>
    <w:rsid w:val="000C5E8E"/>
    <w:rsid w:val="000D72B4"/>
    <w:rsid w:val="000F4751"/>
    <w:rsid w:val="0010524C"/>
    <w:rsid w:val="00111FB1"/>
    <w:rsid w:val="00113418"/>
    <w:rsid w:val="001356F1"/>
    <w:rsid w:val="00136994"/>
    <w:rsid w:val="0014128E"/>
    <w:rsid w:val="00151888"/>
    <w:rsid w:val="00153A57"/>
    <w:rsid w:val="00170A2D"/>
    <w:rsid w:val="001808BC"/>
    <w:rsid w:val="00182B81"/>
    <w:rsid w:val="0018619D"/>
    <w:rsid w:val="001A011E"/>
    <w:rsid w:val="001A066A"/>
    <w:rsid w:val="001A13E6"/>
    <w:rsid w:val="001A5731"/>
    <w:rsid w:val="001B42C3"/>
    <w:rsid w:val="001C5D5E"/>
    <w:rsid w:val="001C6440"/>
    <w:rsid w:val="001D678D"/>
    <w:rsid w:val="001E03F8"/>
    <w:rsid w:val="001E1678"/>
    <w:rsid w:val="001E20F5"/>
    <w:rsid w:val="001E3376"/>
    <w:rsid w:val="002069B3"/>
    <w:rsid w:val="002329CF"/>
    <w:rsid w:val="00232F5B"/>
    <w:rsid w:val="00247C29"/>
    <w:rsid w:val="00257BC9"/>
    <w:rsid w:val="00260467"/>
    <w:rsid w:val="002639E6"/>
    <w:rsid w:val="00263EA3"/>
    <w:rsid w:val="002838E7"/>
    <w:rsid w:val="00284F85"/>
    <w:rsid w:val="002870C3"/>
    <w:rsid w:val="00290915"/>
    <w:rsid w:val="002A22E2"/>
    <w:rsid w:val="002B6836"/>
    <w:rsid w:val="002B73E0"/>
    <w:rsid w:val="002B7512"/>
    <w:rsid w:val="002C64F7"/>
    <w:rsid w:val="002F41F2"/>
    <w:rsid w:val="00301BF3"/>
    <w:rsid w:val="0030208D"/>
    <w:rsid w:val="00323418"/>
    <w:rsid w:val="003357BF"/>
    <w:rsid w:val="00341C02"/>
    <w:rsid w:val="003536D7"/>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48E0"/>
    <w:rsid w:val="00462AB5"/>
    <w:rsid w:val="00465EAF"/>
    <w:rsid w:val="004738C5"/>
    <w:rsid w:val="0047737B"/>
    <w:rsid w:val="00491046"/>
    <w:rsid w:val="00496078"/>
    <w:rsid w:val="004A2AC7"/>
    <w:rsid w:val="004A5440"/>
    <w:rsid w:val="004A54B1"/>
    <w:rsid w:val="004A6D2F"/>
    <w:rsid w:val="004A7B40"/>
    <w:rsid w:val="004B11AE"/>
    <w:rsid w:val="004C2887"/>
    <w:rsid w:val="004D2626"/>
    <w:rsid w:val="004D6E26"/>
    <w:rsid w:val="004D77D3"/>
    <w:rsid w:val="004E2959"/>
    <w:rsid w:val="004E68ED"/>
    <w:rsid w:val="004F20EF"/>
    <w:rsid w:val="0050321C"/>
    <w:rsid w:val="00507ECC"/>
    <w:rsid w:val="0053005C"/>
    <w:rsid w:val="0054712D"/>
    <w:rsid w:val="00547EF6"/>
    <w:rsid w:val="005570B5"/>
    <w:rsid w:val="00567E18"/>
    <w:rsid w:val="0057069D"/>
    <w:rsid w:val="00575F5F"/>
    <w:rsid w:val="00581805"/>
    <w:rsid w:val="00585F76"/>
    <w:rsid w:val="005A00AC"/>
    <w:rsid w:val="005A34E4"/>
    <w:rsid w:val="005A6610"/>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801E6"/>
    <w:rsid w:val="00692627"/>
    <w:rsid w:val="006969E7"/>
    <w:rsid w:val="006A3643"/>
    <w:rsid w:val="006B10C2"/>
    <w:rsid w:val="006B6CE4"/>
    <w:rsid w:val="006C2A29"/>
    <w:rsid w:val="006C64CF"/>
    <w:rsid w:val="006D17B1"/>
    <w:rsid w:val="006D4752"/>
    <w:rsid w:val="006D708A"/>
    <w:rsid w:val="006E14C1"/>
    <w:rsid w:val="006F0292"/>
    <w:rsid w:val="006F27FA"/>
    <w:rsid w:val="006F416B"/>
    <w:rsid w:val="006F519B"/>
    <w:rsid w:val="00713675"/>
    <w:rsid w:val="00713AC1"/>
    <w:rsid w:val="00715823"/>
    <w:rsid w:val="007253EF"/>
    <w:rsid w:val="00737B93"/>
    <w:rsid w:val="00745BF0"/>
    <w:rsid w:val="00751EA3"/>
    <w:rsid w:val="007615FE"/>
    <w:rsid w:val="0076655C"/>
    <w:rsid w:val="007742DC"/>
    <w:rsid w:val="00791437"/>
    <w:rsid w:val="007B0C2C"/>
    <w:rsid w:val="007B278E"/>
    <w:rsid w:val="007B5CA2"/>
    <w:rsid w:val="007C5C23"/>
    <w:rsid w:val="007E2A26"/>
    <w:rsid w:val="007F2348"/>
    <w:rsid w:val="007F4757"/>
    <w:rsid w:val="00803F07"/>
    <w:rsid w:val="0080749A"/>
    <w:rsid w:val="00821FB8"/>
    <w:rsid w:val="00822ACD"/>
    <w:rsid w:val="00855C66"/>
    <w:rsid w:val="00863E69"/>
    <w:rsid w:val="00871EE4"/>
    <w:rsid w:val="008954DF"/>
    <w:rsid w:val="008B293F"/>
    <w:rsid w:val="008B7371"/>
    <w:rsid w:val="008D3DDB"/>
    <w:rsid w:val="008F3B04"/>
    <w:rsid w:val="008F573F"/>
    <w:rsid w:val="009034EC"/>
    <w:rsid w:val="0091260F"/>
    <w:rsid w:val="00914107"/>
    <w:rsid w:val="0093067A"/>
    <w:rsid w:val="00941C60"/>
    <w:rsid w:val="00941FD1"/>
    <w:rsid w:val="00947C8E"/>
    <w:rsid w:val="00950824"/>
    <w:rsid w:val="00966D42"/>
    <w:rsid w:val="00970744"/>
    <w:rsid w:val="00971689"/>
    <w:rsid w:val="0097170F"/>
    <w:rsid w:val="00973E90"/>
    <w:rsid w:val="00975B07"/>
    <w:rsid w:val="00980B4A"/>
    <w:rsid w:val="00984A63"/>
    <w:rsid w:val="0099649A"/>
    <w:rsid w:val="009B3E8A"/>
    <w:rsid w:val="009C38CB"/>
    <w:rsid w:val="009E3D0A"/>
    <w:rsid w:val="009E51FC"/>
    <w:rsid w:val="009F08B8"/>
    <w:rsid w:val="009F1D28"/>
    <w:rsid w:val="009F7618"/>
    <w:rsid w:val="00A04D23"/>
    <w:rsid w:val="00A06766"/>
    <w:rsid w:val="00A13765"/>
    <w:rsid w:val="00A14992"/>
    <w:rsid w:val="00A21B12"/>
    <w:rsid w:val="00A23F80"/>
    <w:rsid w:val="00A46E98"/>
    <w:rsid w:val="00A6352B"/>
    <w:rsid w:val="00A701B5"/>
    <w:rsid w:val="00A714BB"/>
    <w:rsid w:val="00A77147"/>
    <w:rsid w:val="00A772E0"/>
    <w:rsid w:val="00A92D8F"/>
    <w:rsid w:val="00AB2988"/>
    <w:rsid w:val="00AB7999"/>
    <w:rsid w:val="00AD3292"/>
    <w:rsid w:val="00AE1684"/>
    <w:rsid w:val="00AE7AF0"/>
    <w:rsid w:val="00B14C2B"/>
    <w:rsid w:val="00B177D6"/>
    <w:rsid w:val="00B312DC"/>
    <w:rsid w:val="00B500CA"/>
    <w:rsid w:val="00B86314"/>
    <w:rsid w:val="00B967D6"/>
    <w:rsid w:val="00BA1C2E"/>
    <w:rsid w:val="00BB501B"/>
    <w:rsid w:val="00BC200B"/>
    <w:rsid w:val="00BC4756"/>
    <w:rsid w:val="00BC69A4"/>
    <w:rsid w:val="00BE0680"/>
    <w:rsid w:val="00BE305F"/>
    <w:rsid w:val="00BE7BA3"/>
    <w:rsid w:val="00BF5682"/>
    <w:rsid w:val="00BF7B09"/>
    <w:rsid w:val="00C05260"/>
    <w:rsid w:val="00C076B9"/>
    <w:rsid w:val="00C20A95"/>
    <w:rsid w:val="00C2692F"/>
    <w:rsid w:val="00C3207C"/>
    <w:rsid w:val="00C400E1"/>
    <w:rsid w:val="00C41187"/>
    <w:rsid w:val="00C419FC"/>
    <w:rsid w:val="00C63C31"/>
    <w:rsid w:val="00C757A0"/>
    <w:rsid w:val="00C760DE"/>
    <w:rsid w:val="00C82630"/>
    <w:rsid w:val="00C85B4E"/>
    <w:rsid w:val="00C907F7"/>
    <w:rsid w:val="00CA2103"/>
    <w:rsid w:val="00CB21E8"/>
    <w:rsid w:val="00CB334E"/>
    <w:rsid w:val="00CB6B99"/>
    <w:rsid w:val="00CE4C87"/>
    <w:rsid w:val="00CE544A"/>
    <w:rsid w:val="00D11E1C"/>
    <w:rsid w:val="00D131CD"/>
    <w:rsid w:val="00D160B0"/>
    <w:rsid w:val="00D17F94"/>
    <w:rsid w:val="00D2079E"/>
    <w:rsid w:val="00D223FC"/>
    <w:rsid w:val="00D26D1E"/>
    <w:rsid w:val="00D44AD0"/>
    <w:rsid w:val="00D474CF"/>
    <w:rsid w:val="00D5547E"/>
    <w:rsid w:val="00D860E2"/>
    <w:rsid w:val="00D869A1"/>
    <w:rsid w:val="00DA413F"/>
    <w:rsid w:val="00DA4584"/>
    <w:rsid w:val="00DA614B"/>
    <w:rsid w:val="00DA7B3A"/>
    <w:rsid w:val="00DB0BBC"/>
    <w:rsid w:val="00DB7AD7"/>
    <w:rsid w:val="00DC3060"/>
    <w:rsid w:val="00DD4479"/>
    <w:rsid w:val="00DE0FB2"/>
    <w:rsid w:val="00DF093E"/>
    <w:rsid w:val="00E01F42"/>
    <w:rsid w:val="00E206D6"/>
    <w:rsid w:val="00E303AF"/>
    <w:rsid w:val="00E3366E"/>
    <w:rsid w:val="00E3626E"/>
    <w:rsid w:val="00E50BD9"/>
    <w:rsid w:val="00E52086"/>
    <w:rsid w:val="00E543A6"/>
    <w:rsid w:val="00E60479"/>
    <w:rsid w:val="00E61D73"/>
    <w:rsid w:val="00E72877"/>
    <w:rsid w:val="00E73684"/>
    <w:rsid w:val="00E818D6"/>
    <w:rsid w:val="00E87F7A"/>
    <w:rsid w:val="00E94B3E"/>
    <w:rsid w:val="00E96BD7"/>
    <w:rsid w:val="00EA0DB1"/>
    <w:rsid w:val="00EA0EE9"/>
    <w:rsid w:val="00ED52CA"/>
    <w:rsid w:val="00ED5860"/>
    <w:rsid w:val="00EE35C9"/>
    <w:rsid w:val="00EF62D8"/>
    <w:rsid w:val="00F05ECA"/>
    <w:rsid w:val="00F26E21"/>
    <w:rsid w:val="00F3566E"/>
    <w:rsid w:val="00F375FB"/>
    <w:rsid w:val="00F41AC1"/>
    <w:rsid w:val="00F4367A"/>
    <w:rsid w:val="00F445B1"/>
    <w:rsid w:val="00F45CD4"/>
    <w:rsid w:val="00F66DCA"/>
    <w:rsid w:val="00F74F53"/>
    <w:rsid w:val="00F7606D"/>
    <w:rsid w:val="00F81670"/>
    <w:rsid w:val="00F82024"/>
    <w:rsid w:val="00F865A3"/>
    <w:rsid w:val="00F90505"/>
    <w:rsid w:val="00F95BC9"/>
    <w:rsid w:val="00FA5895"/>
    <w:rsid w:val="00FA624C"/>
    <w:rsid w:val="00FB3B71"/>
    <w:rsid w:val="00FD0FAC"/>
    <w:rsid w:val="00FD1DFA"/>
    <w:rsid w:val="00FD4966"/>
    <w:rsid w:val="00FD5BC7"/>
    <w:rsid w:val="00FD681E"/>
    <w:rsid w:val="00FE57DC"/>
    <w:rsid w:val="00FF095A"/>
    <w:rsid w:val="6DAB02A6"/>
    <w:rsid w:val="73E26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37F1663"/>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EBDF-3A1E-4D76-BCF4-6DD491479C9F}">
  <ds:schemaRefs>
    <ds:schemaRef ds:uri="http://schemas.microsoft.com/sharepoint/v3/contenttype/forms"/>
  </ds:schemaRefs>
</ds:datastoreItem>
</file>

<file path=customXml/itemProps2.xml><?xml version="1.0" encoding="utf-8"?>
<ds:datastoreItem xmlns:ds="http://schemas.openxmlformats.org/officeDocument/2006/customXml" ds:itemID="{EA572EE9-021B-426F-8E17-AECD66FB5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C17C4-9508-4854-AF87-074B9DFE8D91}">
  <ds:schemaRefs>
    <ds:schemaRef ds:uri="http://schemas.openxmlformats.org/package/2006/metadata/core-properties"/>
    <ds:schemaRef ds:uri="http://schemas.microsoft.com/office/2006/documentManagement/types"/>
    <ds:schemaRef ds:uri="http://schemas.microsoft.com/office/infopath/2007/PartnerControls"/>
    <ds:schemaRef ds:uri="ca0c6f25-960b-4ad0-86ba-4742c0ecca1e"/>
    <ds:schemaRef ds:uri="http://purl.org/dc/elements/1.1/"/>
    <ds:schemaRef ds:uri="http://schemas.microsoft.com/office/2006/metadata/properties"/>
    <ds:schemaRef ds:uri="http://purl.org/dc/terms/"/>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2D44BF17-3935-45C8-B571-5D224B16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1ECAE6B4</Template>
  <TotalTime>34</TotalTime>
  <Pages>6</Pages>
  <Words>2093</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COURTNEY Alice</cp:lastModifiedBy>
  <cp:revision>6</cp:revision>
  <cp:lastPrinted>2015-07-03T13:50:00Z</cp:lastPrinted>
  <dcterms:created xsi:type="dcterms:W3CDTF">2023-07-06T20:03:00Z</dcterms:created>
  <dcterms:modified xsi:type="dcterms:W3CDTF">2023-07-24T14:32:00Z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